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A8" w:rsidRDefault="00BF7CA8" w:rsidP="00BF7CA8">
      <w:pPr>
        <w:pStyle w:val="Style34"/>
        <w:widowControl/>
        <w:spacing w:before="48"/>
        <w:jc w:val="center"/>
        <w:rPr>
          <w:rStyle w:val="FontStyle76"/>
          <w:sz w:val="40"/>
          <w:szCs w:val="40"/>
          <w:lang w:val="hr-HR" w:eastAsia="hr-HR"/>
        </w:rPr>
      </w:pPr>
      <w:r w:rsidRPr="00BF7CA8">
        <w:rPr>
          <w:rStyle w:val="FontStyle76"/>
          <w:sz w:val="40"/>
          <w:szCs w:val="40"/>
          <w:lang w:val="hr-HR" w:eastAsia="hr-HR"/>
        </w:rPr>
        <w:t>GINEKOLOŠKI TUMORI</w:t>
      </w: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BF7CA8" w:rsidRDefault="00BF7CA8" w:rsidP="00BF7CA8">
      <w:pPr>
        <w:pStyle w:val="Style34"/>
        <w:widowControl/>
        <w:spacing w:before="48"/>
        <w:jc w:val="center"/>
        <w:rPr>
          <w:rStyle w:val="FontStyle76"/>
          <w:sz w:val="40"/>
          <w:szCs w:val="40"/>
          <w:lang w:val="hr-HR" w:eastAsia="hr-HR"/>
        </w:rPr>
      </w:pPr>
    </w:p>
    <w:p w:rsidR="0030335A" w:rsidRDefault="0030335A" w:rsidP="0030335A">
      <w:pPr>
        <w:jc w:val="center"/>
        <w:rPr>
          <w:sz w:val="28"/>
          <w:szCs w:val="28"/>
        </w:rPr>
      </w:pPr>
      <w:r>
        <w:rPr>
          <w:sz w:val="28"/>
          <w:szCs w:val="28"/>
        </w:rPr>
        <w:t xml:space="preserve">Objavljeno na: </w:t>
      </w:r>
      <w:hyperlink r:id="rId7" w:history="1">
        <w:r>
          <w:rPr>
            <w:rStyle w:val="Hyperlink"/>
            <w:sz w:val="28"/>
            <w:szCs w:val="28"/>
          </w:rPr>
          <w:t>www.</w:t>
        </w:r>
        <w:r w:rsidR="0044177E">
          <w:rPr>
            <w:rStyle w:val="Hyperlink"/>
            <w:sz w:val="28"/>
            <w:szCs w:val="28"/>
          </w:rPr>
          <w:t>maturski.org</w:t>
        </w:r>
      </w:hyperlink>
    </w:p>
    <w:p w:rsidR="00BF7CA8" w:rsidRPr="0030335A" w:rsidRDefault="00BF7CA8" w:rsidP="00BF7CA8">
      <w:pPr>
        <w:pStyle w:val="Style34"/>
        <w:widowControl/>
        <w:spacing w:before="48"/>
        <w:jc w:val="center"/>
        <w:rPr>
          <w:rStyle w:val="FontStyle76"/>
          <w:sz w:val="40"/>
          <w:szCs w:val="40"/>
          <w:lang w:eastAsia="hr-HR"/>
        </w:rPr>
      </w:pPr>
    </w:p>
    <w:p w:rsidR="00BF7CA8" w:rsidRPr="00B64E0B" w:rsidRDefault="00BF7CA8" w:rsidP="00BF7CA8">
      <w:pPr>
        <w:pStyle w:val="Style35"/>
        <w:widowControl/>
        <w:spacing w:line="240" w:lineRule="exact"/>
        <w:jc w:val="left"/>
        <w:rPr>
          <w:sz w:val="20"/>
          <w:szCs w:val="20"/>
          <w:lang w:val="hr-HR"/>
        </w:rPr>
      </w:pPr>
    </w:p>
    <w:p w:rsidR="00BF7CA8" w:rsidRPr="00B64E0B" w:rsidRDefault="00BF7CA8" w:rsidP="00BF7CA8">
      <w:pPr>
        <w:pStyle w:val="Style35"/>
        <w:widowControl/>
        <w:spacing w:line="240" w:lineRule="exact"/>
        <w:jc w:val="left"/>
        <w:rPr>
          <w:sz w:val="20"/>
          <w:szCs w:val="20"/>
          <w:lang w:val="hr-HR"/>
        </w:rPr>
      </w:pPr>
    </w:p>
    <w:p w:rsidR="00BF7CA8" w:rsidRDefault="00BF7CA8" w:rsidP="00BF7CA8">
      <w:pPr>
        <w:pStyle w:val="Style35"/>
        <w:widowControl/>
        <w:spacing w:before="77" w:line="240" w:lineRule="auto"/>
        <w:jc w:val="left"/>
        <w:rPr>
          <w:rStyle w:val="FontStyle81"/>
          <w:lang w:val="hr-HR" w:eastAsia="hr-HR"/>
        </w:rPr>
      </w:pPr>
      <w:r>
        <w:rPr>
          <w:rStyle w:val="FontStyle81"/>
          <w:lang w:val="hr-HR" w:eastAsia="hr-HR"/>
        </w:rPr>
        <w:t>RAK GRLIĆA MATERICE</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8" w:line="274" w:lineRule="exact"/>
        <w:rPr>
          <w:rStyle w:val="FontStyle81"/>
          <w:lang w:val="hr-HR" w:eastAsia="hr-HR"/>
        </w:rPr>
      </w:pPr>
      <w:r>
        <w:rPr>
          <w:rStyle w:val="FontStyle81"/>
          <w:lang w:val="hr-HR" w:eastAsia="hr-HR"/>
        </w:rPr>
        <w:t>Rak grlića materice je, pored raka dojke, debelog crijeva, pluća i endometrija, jedan od najčeščih malignih tumora kod žena, sa najvećom incidencijom i mortalitetom u nerazvijenim zemljama Južne Amerike, Azije i Afrike. Incidencija raka grlića materice se postepeno povećava nakon treće decenije života, a prosječna životna dob bolesnica je 47 godina. Žene starije od 65 godina rijetko oboljevaju, ali je stopa mortaliteta te populacije visoka zbog uznapredovalih stadija bolesti. Rak grlića materice se češće javlja kod osoba koje ne posjećuju ginekologa i ne provode adekvatnu spolnu higijenu.</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Rak grlića materice se smatra spolno prenosivom bolešću, s obzirom na to da od nje znatno češće obolijevaju osobe sa ranim početkom spolnog života, sa više brakova i porođaja, sklone promiskuitetu i liječene od raznih spolnih bolesti. Infekcija humanim papiloma virusom (HPV) izaziva poremećaj funkcije i rasta normalne i transformaciju u malignu ćeliju. Rizik je povećan kod žena sa imunodeficijencijom (HIV seropozitivne, tretman sa imunosupresivnim lijekovima), pušenja (djelovanje hemijskih karcinogena iz sekreta vagine), kao i kod deficitarnosti ishrane sa vitaminima A, C i folne kiseline.</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Rak grlića materice nastaje na prednjoj ili stražnjoj usni, u obliku egzofita ili ulceracija, a rjeđe u cervikalnom kanalu. Siri se per continuitatem na grlić, cervikalni kanal, endometrij, paracervikalno tkivo, parametrija ili vaginu, a limfogeno u parametralne, opturatorne, ilijakalne i aortalne limfne čvorove. Hematogeno metastazira u pluća, medijastinum, supraklavikularne limfonode, kosti i jetru.</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Kod neinvazivnih formi simptomi su oskudni, a klinički znaci kod početnih invazivnih tumora su vodnjikav vaginalni iscjedak, postkoitalna, intermenstrualna i obilna menstrualna krvarenja. Kod uznapredovalih stadija bolesti, usljed prodora tumora u okolne organe, javljaju se vaginalna ili rektalna krvarenja, hematurije, bolovi, smetnje sa defekacijom, oštećenja funkcije bubrega zbog opstrukcije uretera i hidronefroza.</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Adenokarcinom se javlja u 15% slučajeva, nastaje iz endocervikalnog cilindričnog epitela, a cerviks poprima formu bureta («barell shaped»). Obično se manifestuje pojačanim iscjetkom kao kod upalnih promjena, zbog čega se kasno otkriva.</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Incidencija adenokarcinoma grlića materice je zadnjih decenija u konstantnom porastu. Adenoskvamozni tipk, karcinomi malih ćelija i karcinoidi su rijetki.</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Rak grlića materice se može vrlo uspješno liječiti ako se ltkrije u početnim stadijima bolesti (karcinom in situ, rani invazivni rak). Petogodišnje preživljavanje liječenih bolesnica sa karcinom in situ je 1OO%.</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Osnovna pretraga u ranoj detekciji je pregled cervikalnog brisa po Papanicolau. To je vrlo jednostavan i prihvatljiv test koji se primjenjuje kod ženske populacije od 18. godine starosti, u redovnim vremenskim razmacima, jedanput godišnje. Kod dva ili tri negativna citološka nalaza pregledi se mogu prolongirati svake dvije do tri godine. Papanicolau test nije savršen jer se njime teže otkrivaju početne forme adenokarcinoma, a procenat lažno negativnih nalaza prelazi 2O%.</w:t>
      </w:r>
    </w:p>
    <w:p w:rsidR="00BF7CA8" w:rsidRDefault="00BF7CA8" w:rsidP="00BF7CA8">
      <w:pPr>
        <w:pStyle w:val="Style35"/>
        <w:widowControl/>
        <w:spacing w:line="274" w:lineRule="exact"/>
        <w:rPr>
          <w:rStyle w:val="FontStyle81"/>
          <w:lang w:val="hr-HR" w:eastAsia="hr-HR"/>
        </w:rPr>
      </w:pPr>
      <w:r>
        <w:rPr>
          <w:rStyle w:val="FontStyle81"/>
          <w:lang w:val="hr-HR" w:eastAsia="hr-HR"/>
        </w:rPr>
        <w:t xml:space="preserve">Dijagnoza raka grlića materice se postavlja na osnovu bimanuelnog ginekološkog pregleda u spekulima i rektovaginalno, kolposkopijom i biopsijom suspektnih lezija ili vidljivog tumora, frakcioniranom </w:t>
      </w:r>
      <w:r>
        <w:rPr>
          <w:rStyle w:val="FontStyle81"/>
          <w:lang w:val="hr-HR" w:eastAsia="hr-HR"/>
        </w:rPr>
        <w:lastRenderedPageBreak/>
        <w:t>kiretažom cervikalnog kanala ukoliko ne postoji vidljiva lezija. Stepen proširenosti bolesti se određuje cistoskopijom, rektoskopijom, i.v. urografijom i kompjuterizovanom tomografijom. Sa magnetskom rezonancom se mogu verificirati metastaze u limfnim čvorovima koji su manji od 2 cm, a pod kontrolom magnetske rezonance i kompjuterizovane tomografije vrše se citološke punkcije suspektnih lezija u pelvisu.</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8" w:lineRule="exact"/>
        <w:rPr>
          <w:rStyle w:val="FontStyle81"/>
          <w:lang w:val="hr-HR" w:eastAsia="hr-HR"/>
        </w:rPr>
      </w:pPr>
      <w:r>
        <w:rPr>
          <w:rStyle w:val="FontStyle81"/>
          <w:lang w:val="hr-HR" w:eastAsia="hr-HR"/>
        </w:rPr>
        <w:t>U određivanju stadija bolesti koristimo se sa FIGO klasifikacijom (International Federation of Obstretics and Gynecology).</w:t>
      </w:r>
    </w:p>
    <w:p w:rsidR="00BF7CA8" w:rsidRDefault="00BF7CA8" w:rsidP="00BF7CA8">
      <w:pPr>
        <w:spacing w:after="298" w:line="1" w:lineRule="exact"/>
        <w:rPr>
          <w:sz w:val="2"/>
          <w:szCs w:val="2"/>
        </w:rPr>
      </w:pPr>
    </w:p>
    <w:tbl>
      <w:tblPr>
        <w:tblW w:w="0" w:type="auto"/>
        <w:tblInd w:w="40" w:type="dxa"/>
        <w:tblLayout w:type="fixed"/>
        <w:tblCellMar>
          <w:left w:w="40" w:type="dxa"/>
          <w:right w:w="40" w:type="dxa"/>
        </w:tblCellMar>
        <w:tblLook w:val="0000"/>
      </w:tblPr>
      <w:tblGrid>
        <w:gridCol w:w="1267"/>
        <w:gridCol w:w="7858"/>
      </w:tblGrid>
      <w:tr w:rsidR="00BF7CA8" w:rsidTr="00623C6C">
        <w:tc>
          <w:tcPr>
            <w:tcW w:w="9125" w:type="dxa"/>
            <w:gridSpan w:val="2"/>
            <w:tcBorders>
              <w:top w:val="nil"/>
              <w:left w:val="nil"/>
              <w:bottom w:val="single" w:sz="6" w:space="0" w:color="auto"/>
              <w:right w:val="nil"/>
            </w:tcBorders>
          </w:tcPr>
          <w:p w:rsidR="00BF7CA8" w:rsidRDefault="00BF7CA8" w:rsidP="00623C6C">
            <w:pPr>
              <w:pStyle w:val="Style37"/>
              <w:widowControl/>
              <w:rPr>
                <w:rStyle w:val="FontStyle76"/>
                <w:lang w:val="hr-HR" w:eastAsia="hr-HR"/>
              </w:rPr>
            </w:pPr>
            <w:r>
              <w:rPr>
                <w:rStyle w:val="FontStyle76"/>
                <w:lang w:val="hr-HR" w:eastAsia="hr-HR"/>
              </w:rPr>
              <w:t>Klasifikacija raka grlića materice (FIGO)</w:t>
            </w:r>
          </w:p>
        </w:tc>
      </w:tr>
      <w:tr w:rsidR="00BF7CA8" w:rsidTr="00623C6C">
        <w:tc>
          <w:tcPr>
            <w:tcW w:w="1267" w:type="dxa"/>
            <w:tcBorders>
              <w:top w:val="single" w:sz="6" w:space="0" w:color="auto"/>
              <w:left w:val="nil"/>
              <w:bottom w:val="single" w:sz="6" w:space="0" w:color="auto"/>
              <w:right w:val="nil"/>
            </w:tcBorders>
          </w:tcPr>
          <w:p w:rsidR="00BF7CA8" w:rsidRDefault="00BF7CA8" w:rsidP="00623C6C">
            <w:pPr>
              <w:pStyle w:val="Style37"/>
              <w:widowControl/>
              <w:rPr>
                <w:rStyle w:val="FontStyle76"/>
                <w:lang w:val="hr-HR" w:eastAsia="hr-HR"/>
              </w:rPr>
            </w:pPr>
            <w:r>
              <w:rPr>
                <w:rStyle w:val="FontStyle76"/>
                <w:lang w:val="hr-HR" w:eastAsia="hr-HR"/>
              </w:rPr>
              <w:t>Stadij O</w:t>
            </w:r>
          </w:p>
        </w:tc>
        <w:tc>
          <w:tcPr>
            <w:tcW w:w="7858" w:type="dxa"/>
            <w:tcBorders>
              <w:top w:val="single" w:sz="6" w:space="0" w:color="auto"/>
              <w:left w:val="nil"/>
              <w:bottom w:val="single" w:sz="6" w:space="0" w:color="auto"/>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Ca in situ, intraepitelijalni karcinom (Cis)</w:t>
            </w:r>
          </w:p>
        </w:tc>
      </w:tr>
      <w:tr w:rsidR="00BF7CA8" w:rsidRPr="0030335A" w:rsidTr="00623C6C">
        <w:tc>
          <w:tcPr>
            <w:tcW w:w="1267" w:type="dxa"/>
            <w:tcBorders>
              <w:top w:val="single" w:sz="6" w:space="0" w:color="auto"/>
              <w:left w:val="nil"/>
              <w:bottom w:val="nil"/>
              <w:right w:val="nil"/>
            </w:tcBorders>
          </w:tcPr>
          <w:p w:rsidR="00BF7CA8" w:rsidRDefault="00BF7CA8" w:rsidP="00623C6C">
            <w:pPr>
              <w:pStyle w:val="Style37"/>
              <w:widowControl/>
              <w:rPr>
                <w:rStyle w:val="FontStyle76"/>
                <w:lang w:val="hr-HR" w:eastAsia="hr-HR"/>
              </w:rPr>
            </w:pPr>
            <w:r>
              <w:rPr>
                <w:rStyle w:val="FontStyle76"/>
                <w:lang w:val="hr-HR" w:eastAsia="hr-HR"/>
              </w:rPr>
              <w:t>Stadij I</w:t>
            </w:r>
          </w:p>
        </w:tc>
        <w:tc>
          <w:tcPr>
            <w:tcW w:w="7858"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rak strogo ograničen na grlić (širenje na korpus uterusa se zanemaruje)</w:t>
            </w:r>
          </w:p>
        </w:tc>
      </w:tr>
      <w:tr w:rsidR="00BF7CA8" w:rsidTr="00623C6C">
        <w:tc>
          <w:tcPr>
            <w:tcW w:w="1267" w:type="dxa"/>
            <w:tcBorders>
              <w:top w:val="nil"/>
              <w:left w:val="nil"/>
              <w:bottom w:val="nil"/>
              <w:right w:val="nil"/>
            </w:tcBorders>
          </w:tcPr>
          <w:p w:rsidR="00BF7CA8" w:rsidRDefault="00BF7CA8" w:rsidP="00623C6C">
            <w:pPr>
              <w:pStyle w:val="Style37"/>
              <w:widowControl/>
              <w:ind w:left="523"/>
              <w:rPr>
                <w:rStyle w:val="FontStyle72"/>
                <w:lang w:val="hr-HR" w:eastAsia="hr-HR"/>
              </w:rPr>
            </w:pPr>
            <w:r>
              <w:rPr>
                <w:rStyle w:val="FontStyle76"/>
                <w:lang w:val="hr-HR" w:eastAsia="hr-HR"/>
              </w:rPr>
              <w:t>IIA</w:t>
            </w:r>
            <w:r>
              <w:rPr>
                <w:rStyle w:val="FontStyle72"/>
                <w:lang w:val="hr-HR" w:eastAsia="hr-HR"/>
              </w:rPr>
              <w:t>1</w:t>
            </w:r>
          </w:p>
        </w:tc>
        <w:tc>
          <w:tcPr>
            <w:tcW w:w="7858"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mikroskopski evidentna stromalna invazija do 3 mm u dubinu</w:t>
            </w:r>
          </w:p>
        </w:tc>
      </w:tr>
      <w:tr w:rsidR="00BF7CA8" w:rsidTr="00623C6C">
        <w:tc>
          <w:tcPr>
            <w:tcW w:w="1267" w:type="dxa"/>
            <w:tcBorders>
              <w:top w:val="nil"/>
              <w:left w:val="nil"/>
              <w:bottom w:val="nil"/>
              <w:right w:val="nil"/>
            </w:tcBorders>
          </w:tcPr>
          <w:p w:rsidR="00BF7CA8" w:rsidRDefault="00BF7CA8" w:rsidP="00623C6C">
            <w:pPr>
              <w:pStyle w:val="Style37"/>
              <w:widowControl/>
              <w:ind w:left="523"/>
              <w:rPr>
                <w:rStyle w:val="FontStyle72"/>
                <w:lang w:val="hr-HR" w:eastAsia="hr-HR"/>
              </w:rPr>
            </w:pPr>
            <w:r>
              <w:rPr>
                <w:rStyle w:val="FontStyle76"/>
                <w:lang w:val="hr-HR" w:eastAsia="hr-HR"/>
              </w:rPr>
              <w:t>IIA</w:t>
            </w:r>
            <w:r>
              <w:rPr>
                <w:rStyle w:val="FontStyle72"/>
                <w:lang w:val="hr-HR" w:eastAsia="hr-HR"/>
              </w:rPr>
              <w:t>2</w:t>
            </w:r>
          </w:p>
        </w:tc>
        <w:tc>
          <w:tcPr>
            <w:tcW w:w="7858"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mikroskopski mjerljiva invazija strome do dubine 5 mm i sa horizontalnim</w:t>
            </w:r>
          </w:p>
        </w:tc>
      </w:tr>
      <w:tr w:rsidR="00BF7CA8" w:rsidTr="00623C6C">
        <w:tc>
          <w:tcPr>
            <w:tcW w:w="1267" w:type="dxa"/>
            <w:tcBorders>
              <w:top w:val="nil"/>
              <w:left w:val="nil"/>
              <w:bottom w:val="nil"/>
              <w:right w:val="nil"/>
            </w:tcBorders>
          </w:tcPr>
          <w:p w:rsidR="00BF7CA8" w:rsidRDefault="00BF7CA8" w:rsidP="00623C6C">
            <w:pPr>
              <w:pStyle w:val="Style1"/>
              <w:widowControl/>
            </w:pPr>
          </w:p>
        </w:tc>
        <w:tc>
          <w:tcPr>
            <w:tcW w:w="7858" w:type="dxa"/>
            <w:tcBorders>
              <w:top w:val="nil"/>
              <w:left w:val="nil"/>
              <w:bottom w:val="nil"/>
              <w:right w:val="nil"/>
            </w:tcBorders>
          </w:tcPr>
          <w:p w:rsidR="00BF7CA8" w:rsidRDefault="00BF7CA8" w:rsidP="00623C6C">
            <w:pPr>
              <w:pStyle w:val="Style55"/>
              <w:widowControl/>
              <w:spacing w:line="240" w:lineRule="auto"/>
              <w:ind w:left="226"/>
              <w:rPr>
                <w:rStyle w:val="FontStyle81"/>
                <w:lang w:val="hr-HR" w:eastAsia="hr-HR"/>
              </w:rPr>
            </w:pPr>
            <w:r>
              <w:rPr>
                <w:rStyle w:val="FontStyle81"/>
                <w:lang w:val="hr-HR" w:eastAsia="hr-HR"/>
              </w:rPr>
              <w:t>širenjem do 7 mm</w:t>
            </w:r>
          </w:p>
        </w:tc>
      </w:tr>
      <w:tr w:rsidR="00BF7CA8" w:rsidTr="00623C6C">
        <w:tc>
          <w:tcPr>
            <w:tcW w:w="1267" w:type="dxa"/>
            <w:tcBorders>
              <w:top w:val="nil"/>
              <w:left w:val="nil"/>
              <w:bottom w:val="nil"/>
              <w:right w:val="nil"/>
            </w:tcBorders>
          </w:tcPr>
          <w:p w:rsidR="00BF7CA8" w:rsidRDefault="00BF7CA8" w:rsidP="00623C6C">
            <w:pPr>
              <w:pStyle w:val="Style37"/>
              <w:widowControl/>
              <w:ind w:left="523"/>
              <w:rPr>
                <w:rStyle w:val="FontStyle76"/>
                <w:lang w:val="hr-HR" w:eastAsia="hr-HR"/>
              </w:rPr>
            </w:pPr>
            <w:r>
              <w:rPr>
                <w:rStyle w:val="FontStyle76"/>
                <w:lang w:val="hr-HR" w:eastAsia="hr-HR"/>
              </w:rPr>
              <w:t>IB</w:t>
            </w:r>
          </w:p>
        </w:tc>
        <w:tc>
          <w:tcPr>
            <w:tcW w:w="7858" w:type="dxa"/>
            <w:tcBorders>
              <w:top w:val="nil"/>
              <w:left w:val="nil"/>
              <w:bottom w:val="nil"/>
              <w:right w:val="nil"/>
            </w:tcBorders>
          </w:tcPr>
          <w:p w:rsidR="00BF7CA8" w:rsidRDefault="00BF7CA8" w:rsidP="00623C6C">
            <w:pPr>
              <w:pStyle w:val="Style55"/>
              <w:widowControl/>
              <w:spacing w:line="240" w:lineRule="auto"/>
              <w:rPr>
                <w:rStyle w:val="FontStyle75"/>
                <w:lang w:val="hr-HR" w:eastAsia="hr-HR"/>
              </w:rPr>
            </w:pPr>
            <w:r>
              <w:rPr>
                <w:rStyle w:val="FontStyle81"/>
                <w:lang w:val="hr-HR" w:eastAsia="hr-HR"/>
              </w:rPr>
              <w:t>- lezija većih dimenzija od stadija IA</w:t>
            </w:r>
            <w:r>
              <w:rPr>
                <w:rStyle w:val="FontStyle75"/>
                <w:lang w:val="hr-HR" w:eastAsia="hr-HR"/>
              </w:rPr>
              <w:t>2</w:t>
            </w:r>
          </w:p>
        </w:tc>
      </w:tr>
      <w:tr w:rsidR="00BF7CA8" w:rsidTr="00623C6C">
        <w:tc>
          <w:tcPr>
            <w:tcW w:w="1267" w:type="dxa"/>
            <w:tcBorders>
              <w:top w:val="nil"/>
              <w:left w:val="nil"/>
              <w:bottom w:val="nil"/>
              <w:right w:val="nil"/>
            </w:tcBorders>
          </w:tcPr>
          <w:p w:rsidR="00BF7CA8" w:rsidRDefault="00BF7CA8" w:rsidP="00623C6C">
            <w:pPr>
              <w:pStyle w:val="Style37"/>
              <w:widowControl/>
              <w:ind w:left="523"/>
              <w:rPr>
                <w:rStyle w:val="FontStyle72"/>
                <w:lang w:val="hr-HR" w:eastAsia="hr-HR"/>
              </w:rPr>
            </w:pPr>
            <w:r>
              <w:rPr>
                <w:rStyle w:val="FontStyle76"/>
                <w:lang w:val="hr-HR" w:eastAsia="hr-HR"/>
              </w:rPr>
              <w:t>IB</w:t>
            </w:r>
            <w:r>
              <w:rPr>
                <w:rStyle w:val="FontStyle72"/>
                <w:lang w:val="hr-HR" w:eastAsia="hr-HR"/>
              </w:rPr>
              <w:t>1</w:t>
            </w:r>
          </w:p>
        </w:tc>
        <w:tc>
          <w:tcPr>
            <w:tcW w:w="7858"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lezija do 4 cm veličine</w:t>
            </w:r>
          </w:p>
        </w:tc>
      </w:tr>
      <w:tr w:rsidR="00BF7CA8" w:rsidTr="00623C6C">
        <w:tc>
          <w:tcPr>
            <w:tcW w:w="1267" w:type="dxa"/>
            <w:tcBorders>
              <w:top w:val="nil"/>
              <w:left w:val="nil"/>
              <w:bottom w:val="single" w:sz="6" w:space="0" w:color="auto"/>
              <w:right w:val="nil"/>
            </w:tcBorders>
          </w:tcPr>
          <w:p w:rsidR="00BF7CA8" w:rsidRDefault="00BF7CA8" w:rsidP="00623C6C">
            <w:pPr>
              <w:pStyle w:val="Style37"/>
              <w:widowControl/>
              <w:ind w:left="523"/>
              <w:rPr>
                <w:rStyle w:val="FontStyle72"/>
                <w:lang w:val="hr-HR" w:eastAsia="hr-HR"/>
              </w:rPr>
            </w:pPr>
            <w:r>
              <w:rPr>
                <w:rStyle w:val="FontStyle76"/>
                <w:lang w:val="hr-HR" w:eastAsia="hr-HR"/>
              </w:rPr>
              <w:t>IB</w:t>
            </w:r>
            <w:r>
              <w:rPr>
                <w:rStyle w:val="FontStyle72"/>
                <w:lang w:val="hr-HR" w:eastAsia="hr-HR"/>
              </w:rPr>
              <w:t>2</w:t>
            </w:r>
          </w:p>
        </w:tc>
        <w:tc>
          <w:tcPr>
            <w:tcW w:w="7858" w:type="dxa"/>
            <w:tcBorders>
              <w:top w:val="nil"/>
              <w:left w:val="nil"/>
              <w:bottom w:val="single" w:sz="6" w:space="0" w:color="auto"/>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lezija veća od 4 cm</w:t>
            </w:r>
          </w:p>
        </w:tc>
      </w:tr>
      <w:tr w:rsidR="00BF7CA8" w:rsidTr="00623C6C">
        <w:tc>
          <w:tcPr>
            <w:tcW w:w="1267" w:type="dxa"/>
            <w:tcBorders>
              <w:top w:val="single" w:sz="6" w:space="0" w:color="auto"/>
              <w:left w:val="nil"/>
              <w:bottom w:val="nil"/>
              <w:right w:val="nil"/>
            </w:tcBorders>
          </w:tcPr>
          <w:p w:rsidR="00BF7CA8" w:rsidRDefault="00BF7CA8" w:rsidP="00623C6C">
            <w:pPr>
              <w:pStyle w:val="Style37"/>
              <w:widowControl/>
              <w:rPr>
                <w:rStyle w:val="FontStyle76"/>
                <w:lang w:val="hr-HR" w:eastAsia="hr-HR"/>
              </w:rPr>
            </w:pPr>
            <w:r>
              <w:rPr>
                <w:rStyle w:val="FontStyle76"/>
                <w:lang w:val="hr-HR" w:eastAsia="hr-HR"/>
              </w:rPr>
              <w:t>Stadij II</w:t>
            </w:r>
          </w:p>
        </w:tc>
        <w:tc>
          <w:tcPr>
            <w:tcW w:w="7858"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rak se širi sa cerviksa, ne zahvata zid karlice, zahvata vaginu, ali ne donju</w:t>
            </w:r>
          </w:p>
        </w:tc>
      </w:tr>
      <w:tr w:rsidR="00BF7CA8" w:rsidTr="00623C6C">
        <w:tc>
          <w:tcPr>
            <w:tcW w:w="1267" w:type="dxa"/>
            <w:tcBorders>
              <w:top w:val="nil"/>
              <w:left w:val="nil"/>
              <w:bottom w:val="nil"/>
              <w:right w:val="nil"/>
            </w:tcBorders>
          </w:tcPr>
          <w:p w:rsidR="00BF7CA8" w:rsidRDefault="00BF7CA8" w:rsidP="00623C6C">
            <w:pPr>
              <w:pStyle w:val="Style1"/>
              <w:widowControl/>
            </w:pPr>
          </w:p>
        </w:tc>
        <w:tc>
          <w:tcPr>
            <w:tcW w:w="7858" w:type="dxa"/>
            <w:tcBorders>
              <w:top w:val="nil"/>
              <w:left w:val="nil"/>
              <w:bottom w:val="nil"/>
              <w:right w:val="nil"/>
            </w:tcBorders>
          </w:tcPr>
          <w:p w:rsidR="00BF7CA8" w:rsidRDefault="00BF7CA8" w:rsidP="00623C6C">
            <w:pPr>
              <w:pStyle w:val="Style55"/>
              <w:widowControl/>
              <w:spacing w:line="240" w:lineRule="auto"/>
              <w:ind w:left="211"/>
              <w:rPr>
                <w:rStyle w:val="FontStyle81"/>
                <w:lang w:val="hr-HR" w:eastAsia="hr-HR"/>
              </w:rPr>
            </w:pPr>
            <w:r>
              <w:rPr>
                <w:rStyle w:val="FontStyle81"/>
                <w:lang w:val="hr-HR" w:eastAsia="hr-HR"/>
              </w:rPr>
              <w:t>trećinu</w:t>
            </w:r>
          </w:p>
        </w:tc>
      </w:tr>
      <w:tr w:rsidR="00BF7CA8" w:rsidTr="00623C6C">
        <w:tc>
          <w:tcPr>
            <w:tcW w:w="1267" w:type="dxa"/>
            <w:tcBorders>
              <w:top w:val="nil"/>
              <w:left w:val="nil"/>
              <w:bottom w:val="nil"/>
              <w:right w:val="nil"/>
            </w:tcBorders>
          </w:tcPr>
          <w:p w:rsidR="00BF7CA8" w:rsidRDefault="00BF7CA8" w:rsidP="00623C6C">
            <w:pPr>
              <w:pStyle w:val="Style37"/>
              <w:widowControl/>
              <w:ind w:left="523"/>
              <w:rPr>
                <w:rStyle w:val="FontStyle76"/>
                <w:lang w:val="hr-HR" w:eastAsia="hr-HR"/>
              </w:rPr>
            </w:pPr>
            <w:r>
              <w:rPr>
                <w:rStyle w:val="FontStyle76"/>
                <w:lang w:val="hr-HR" w:eastAsia="hr-HR"/>
              </w:rPr>
              <w:t>IIA</w:t>
            </w:r>
          </w:p>
        </w:tc>
        <w:tc>
          <w:tcPr>
            <w:tcW w:w="7858"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bez infiltracije parametrija</w:t>
            </w:r>
          </w:p>
        </w:tc>
      </w:tr>
      <w:tr w:rsidR="00BF7CA8" w:rsidTr="00623C6C">
        <w:tc>
          <w:tcPr>
            <w:tcW w:w="1267" w:type="dxa"/>
            <w:tcBorders>
              <w:top w:val="nil"/>
              <w:left w:val="nil"/>
              <w:bottom w:val="single" w:sz="6" w:space="0" w:color="auto"/>
              <w:right w:val="nil"/>
            </w:tcBorders>
          </w:tcPr>
          <w:p w:rsidR="00BF7CA8" w:rsidRDefault="00BF7CA8" w:rsidP="00623C6C">
            <w:pPr>
              <w:pStyle w:val="Style37"/>
              <w:widowControl/>
              <w:ind w:left="523"/>
              <w:rPr>
                <w:rStyle w:val="FontStyle76"/>
                <w:lang w:val="hr-HR" w:eastAsia="hr-HR"/>
              </w:rPr>
            </w:pPr>
            <w:r>
              <w:rPr>
                <w:rStyle w:val="FontStyle76"/>
                <w:lang w:val="hr-HR" w:eastAsia="hr-HR"/>
              </w:rPr>
              <w:t>IIB</w:t>
            </w:r>
          </w:p>
        </w:tc>
        <w:tc>
          <w:tcPr>
            <w:tcW w:w="7858" w:type="dxa"/>
            <w:tcBorders>
              <w:top w:val="nil"/>
              <w:left w:val="nil"/>
              <w:bottom w:val="single" w:sz="6" w:space="0" w:color="auto"/>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infiltracija parametrija</w:t>
            </w:r>
          </w:p>
        </w:tc>
      </w:tr>
      <w:tr w:rsidR="00BF7CA8" w:rsidTr="00623C6C">
        <w:tc>
          <w:tcPr>
            <w:tcW w:w="1267" w:type="dxa"/>
            <w:tcBorders>
              <w:top w:val="single" w:sz="6" w:space="0" w:color="auto"/>
              <w:left w:val="nil"/>
              <w:bottom w:val="nil"/>
              <w:right w:val="nil"/>
            </w:tcBorders>
          </w:tcPr>
          <w:p w:rsidR="00BF7CA8" w:rsidRDefault="00BF7CA8" w:rsidP="00623C6C">
            <w:pPr>
              <w:pStyle w:val="Style37"/>
              <w:widowControl/>
              <w:rPr>
                <w:rStyle w:val="FontStyle76"/>
                <w:lang w:val="hr-HR" w:eastAsia="hr-HR"/>
              </w:rPr>
            </w:pPr>
            <w:r>
              <w:rPr>
                <w:rStyle w:val="FontStyle76"/>
                <w:lang w:val="hr-HR" w:eastAsia="hr-HR"/>
              </w:rPr>
              <w:t>Stadij III</w:t>
            </w:r>
          </w:p>
        </w:tc>
        <w:tc>
          <w:tcPr>
            <w:tcW w:w="7858"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rak se proširio do zida karlice, zahvata donju trećinu vagine. U ovaj stadij</w:t>
            </w:r>
          </w:p>
        </w:tc>
      </w:tr>
      <w:tr w:rsidR="00BF7CA8" w:rsidTr="00623C6C">
        <w:tc>
          <w:tcPr>
            <w:tcW w:w="1267" w:type="dxa"/>
            <w:tcBorders>
              <w:top w:val="nil"/>
              <w:left w:val="nil"/>
              <w:bottom w:val="nil"/>
              <w:right w:val="nil"/>
            </w:tcBorders>
          </w:tcPr>
          <w:p w:rsidR="00BF7CA8" w:rsidRDefault="00BF7CA8" w:rsidP="00623C6C">
            <w:pPr>
              <w:pStyle w:val="Style1"/>
              <w:widowControl/>
            </w:pPr>
          </w:p>
        </w:tc>
        <w:tc>
          <w:tcPr>
            <w:tcW w:w="7858" w:type="dxa"/>
            <w:tcBorders>
              <w:top w:val="nil"/>
              <w:left w:val="nil"/>
              <w:bottom w:val="nil"/>
              <w:right w:val="nil"/>
            </w:tcBorders>
          </w:tcPr>
          <w:p w:rsidR="00BF7CA8" w:rsidRDefault="00BF7CA8" w:rsidP="00623C6C">
            <w:pPr>
              <w:pStyle w:val="Style55"/>
              <w:widowControl/>
              <w:spacing w:line="240" w:lineRule="auto"/>
              <w:ind w:left="216"/>
              <w:rPr>
                <w:rStyle w:val="FontStyle81"/>
                <w:lang w:val="hr-HR" w:eastAsia="hr-HR"/>
              </w:rPr>
            </w:pPr>
            <w:r>
              <w:rPr>
                <w:rStyle w:val="FontStyle81"/>
                <w:lang w:val="hr-HR" w:eastAsia="hr-HR"/>
              </w:rPr>
              <w:t>nisu uključene bolesnice sa hidronefrozom ili afunkcijom bubrega</w:t>
            </w:r>
          </w:p>
        </w:tc>
      </w:tr>
      <w:tr w:rsidR="00BF7CA8" w:rsidTr="00623C6C">
        <w:tc>
          <w:tcPr>
            <w:tcW w:w="1267" w:type="dxa"/>
            <w:tcBorders>
              <w:top w:val="nil"/>
              <w:left w:val="nil"/>
              <w:bottom w:val="nil"/>
              <w:right w:val="nil"/>
            </w:tcBorders>
          </w:tcPr>
          <w:p w:rsidR="00BF7CA8" w:rsidRDefault="00BF7CA8" w:rsidP="00623C6C">
            <w:pPr>
              <w:pStyle w:val="Style37"/>
              <w:widowControl/>
              <w:ind w:left="523"/>
              <w:rPr>
                <w:rStyle w:val="FontStyle76"/>
                <w:lang w:val="hr-HR" w:eastAsia="hr-HR"/>
              </w:rPr>
            </w:pPr>
            <w:r>
              <w:rPr>
                <w:rStyle w:val="FontStyle76"/>
                <w:lang w:val="hr-HR" w:eastAsia="hr-HR"/>
              </w:rPr>
              <w:t>IIIA</w:t>
            </w:r>
          </w:p>
        </w:tc>
        <w:tc>
          <w:tcPr>
            <w:tcW w:w="7858"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zahvatanje dvije trećine vagine, bez širenja do zida karlice</w:t>
            </w:r>
          </w:p>
        </w:tc>
      </w:tr>
      <w:tr w:rsidR="00BF7CA8" w:rsidTr="00623C6C">
        <w:tc>
          <w:tcPr>
            <w:tcW w:w="1267" w:type="dxa"/>
            <w:tcBorders>
              <w:top w:val="nil"/>
              <w:left w:val="nil"/>
              <w:bottom w:val="single" w:sz="6" w:space="0" w:color="auto"/>
              <w:right w:val="nil"/>
            </w:tcBorders>
          </w:tcPr>
          <w:p w:rsidR="00BF7CA8" w:rsidRDefault="00BF7CA8" w:rsidP="00623C6C">
            <w:pPr>
              <w:pStyle w:val="Style37"/>
              <w:widowControl/>
              <w:ind w:left="523"/>
              <w:rPr>
                <w:rStyle w:val="FontStyle76"/>
                <w:lang w:val="hr-HR" w:eastAsia="hr-HR"/>
              </w:rPr>
            </w:pPr>
            <w:r>
              <w:rPr>
                <w:rStyle w:val="FontStyle76"/>
                <w:lang w:val="hr-HR" w:eastAsia="hr-HR"/>
              </w:rPr>
              <w:t>IIIB</w:t>
            </w:r>
          </w:p>
        </w:tc>
        <w:tc>
          <w:tcPr>
            <w:tcW w:w="7858" w:type="dxa"/>
            <w:tcBorders>
              <w:top w:val="nil"/>
              <w:left w:val="nil"/>
              <w:bottom w:val="single" w:sz="6" w:space="0" w:color="auto"/>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širenje do zida karlice ili hidronefroza i afunkcija bubrega</w:t>
            </w:r>
          </w:p>
        </w:tc>
      </w:tr>
      <w:tr w:rsidR="00BF7CA8" w:rsidTr="00623C6C">
        <w:tc>
          <w:tcPr>
            <w:tcW w:w="1267" w:type="dxa"/>
            <w:tcBorders>
              <w:top w:val="single" w:sz="6" w:space="0" w:color="auto"/>
              <w:left w:val="nil"/>
              <w:bottom w:val="nil"/>
              <w:right w:val="nil"/>
            </w:tcBorders>
          </w:tcPr>
          <w:p w:rsidR="00BF7CA8" w:rsidRDefault="00BF7CA8" w:rsidP="00623C6C">
            <w:pPr>
              <w:pStyle w:val="Style37"/>
              <w:widowControl/>
              <w:rPr>
                <w:rStyle w:val="FontStyle76"/>
                <w:lang w:val="hr-HR" w:eastAsia="hr-HR"/>
              </w:rPr>
            </w:pPr>
            <w:r>
              <w:rPr>
                <w:rStyle w:val="FontStyle76"/>
                <w:lang w:val="hr-HR" w:eastAsia="hr-HR"/>
              </w:rPr>
              <w:t>Stadij IV</w:t>
            </w:r>
          </w:p>
        </w:tc>
        <w:tc>
          <w:tcPr>
            <w:tcW w:w="7858"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 širenje raka izvan karlice ili zahvatanje sluznice mokraćne bešike i rektuma</w:t>
            </w:r>
          </w:p>
        </w:tc>
      </w:tr>
    </w:tbl>
    <w:p w:rsidR="00BF7CA8" w:rsidRDefault="00BF7CA8" w:rsidP="00BF7CA8">
      <w:pPr>
        <w:pStyle w:val="Style35"/>
        <w:widowControl/>
        <w:spacing w:before="53" w:line="278" w:lineRule="exact"/>
        <w:ind w:left="605" w:right="4910"/>
        <w:rPr>
          <w:rStyle w:val="FontStyle81"/>
          <w:u w:val="single"/>
          <w:lang w:val="hr-HR" w:eastAsia="hr-HR"/>
        </w:rPr>
      </w:pPr>
      <w:r>
        <w:rPr>
          <w:rStyle w:val="FontStyle81"/>
          <w:lang w:val="hr-HR" w:eastAsia="hr-HR"/>
        </w:rPr>
        <w:t xml:space="preserve">IVA - širenje na bešiku ili rektum </w:t>
      </w:r>
      <w:r>
        <w:rPr>
          <w:rStyle w:val="FontStyle76"/>
          <w:u w:val="single"/>
          <w:lang w:val="hr-HR" w:eastAsia="hr-HR"/>
        </w:rPr>
        <w:t xml:space="preserve">IVB     </w:t>
      </w:r>
      <w:r>
        <w:rPr>
          <w:rStyle w:val="FontStyle81"/>
          <w:u w:val="single"/>
          <w:lang w:val="hr-HR" w:eastAsia="hr-HR"/>
        </w:rPr>
        <w:t>- širenje na udaljene organe</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72" w:line="274" w:lineRule="exact"/>
        <w:rPr>
          <w:rStyle w:val="FontStyle81"/>
          <w:lang w:val="hr-HR" w:eastAsia="hr-HR"/>
        </w:rPr>
      </w:pPr>
      <w:r>
        <w:rPr>
          <w:rStyle w:val="FontStyle81"/>
          <w:lang w:val="hr-HR" w:eastAsia="hr-HR"/>
        </w:rPr>
        <w:t>Bolesnice sa cervikalnim intraepitelijalnim neoplazijama (CIN) i karcinomom in situ (CIS) tretiraju se sa poštednim zahvatima - konizacijom koja je ujedno dijagnostička i tgerapijska procedura. Dijagnoza mikroinvazivne bolesti se bazira na dubini i širini invazije kod pregleda konusnog isječka.</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Kod tumorske penetracije u dubini 3 mm (stadij IA</w:t>
      </w:r>
      <w:r>
        <w:rPr>
          <w:rStyle w:val="FontStyle75"/>
          <w:lang w:val="hr-HR" w:eastAsia="hr-HR"/>
        </w:rPr>
        <w:t xml:space="preserve">1) </w:t>
      </w:r>
      <w:r>
        <w:rPr>
          <w:rStyle w:val="FontStyle81"/>
          <w:lang w:val="hr-HR" w:eastAsia="hr-HR"/>
        </w:rPr>
        <w:t>indicirana je histerektomija simplex, a kod nepovoljnih prognostičkih faktora modificirana radikalna histerektomija sa pelvičnom limfadenektomijom.</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Kod tumora u stadiju IB i IIA indicirana je radikalna histerektomija sa pelvinom limfadenektomijom, a radioterapija kod tumora većih od 4 cm, kao i kod metastatski promijenjenih paraaortalnih pelvičnih limfonoda dokazanih intraoperativno.</w:t>
      </w:r>
    </w:p>
    <w:p w:rsidR="00BF7CA8" w:rsidRPr="00B64E0B" w:rsidRDefault="00BF7CA8" w:rsidP="00BF7CA8">
      <w:pPr>
        <w:pStyle w:val="Style36"/>
        <w:widowControl/>
        <w:spacing w:line="240" w:lineRule="exact"/>
        <w:rPr>
          <w:sz w:val="20"/>
          <w:szCs w:val="20"/>
          <w:lang w:val="hr-HR"/>
        </w:rPr>
      </w:pPr>
    </w:p>
    <w:p w:rsidR="00BF7CA8" w:rsidRDefault="00BF7CA8" w:rsidP="00BF7CA8">
      <w:pPr>
        <w:pStyle w:val="Style36"/>
        <w:widowControl/>
        <w:spacing w:before="38" w:line="274" w:lineRule="exact"/>
        <w:rPr>
          <w:rStyle w:val="FontStyle81"/>
          <w:lang w:val="hr-HR" w:eastAsia="hr-HR"/>
        </w:rPr>
      </w:pPr>
      <w:r>
        <w:rPr>
          <w:rStyle w:val="FontStyle81"/>
          <w:lang w:val="hr-HR" w:eastAsia="hr-HR"/>
        </w:rPr>
        <w:t>Rezultati petogodišnjeg preživaljavanja bolesnica nakon hirurškog liječenja u stadiju IA, IB, IIA su u uskoj korelaciji sa veličinom tumora i statusom limfnih žlijezda. Kod tumora veličine do 2 cm i sa negativnim limfonodima petogodišnje preživljavanje je oko 90%, a kod tumora većih od 4 cm i pozitivnim limfonodima 60-70%. Kod negativnih limfonoda u stadiju IIA petogodišnje preživljavanje bolesnica je 70-80%, a kod metastatski promijenjenih limfonoda</w:t>
      </w:r>
    </w:p>
    <w:p w:rsidR="00BF7CA8" w:rsidRDefault="00BF7CA8" w:rsidP="00BF7CA8">
      <w:pPr>
        <w:pStyle w:val="Style35"/>
        <w:widowControl/>
        <w:spacing w:before="14" w:line="240" w:lineRule="auto"/>
        <w:jc w:val="left"/>
        <w:rPr>
          <w:rStyle w:val="FontStyle81"/>
          <w:lang w:val="hr-HR" w:eastAsia="hr-HR"/>
        </w:rPr>
      </w:pPr>
      <w:r>
        <w:rPr>
          <w:rStyle w:val="FontStyle81"/>
          <w:lang w:val="hr-HR" w:eastAsia="hr-HR"/>
        </w:rPr>
        <w:lastRenderedPageBreak/>
        <w:t>oko 40%.</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58" w:line="240" w:lineRule="auto"/>
        <w:rPr>
          <w:rStyle w:val="FontStyle81"/>
          <w:lang w:val="hr-HR" w:eastAsia="hr-HR"/>
        </w:rPr>
      </w:pPr>
      <w:r>
        <w:rPr>
          <w:rStyle w:val="FontStyle81"/>
          <w:lang w:val="hr-HR" w:eastAsia="hr-HR"/>
        </w:rPr>
        <w:t>Radoterapija je metoda izbora za tretman raka grlića materice u uznapredovalim stadijima</w:t>
      </w:r>
    </w:p>
    <w:p w:rsidR="00BF7CA8" w:rsidRDefault="00BF7CA8" w:rsidP="00BF7CA8">
      <w:pPr>
        <w:pStyle w:val="Style35"/>
        <w:widowControl/>
        <w:spacing w:before="19" w:line="240" w:lineRule="auto"/>
        <w:jc w:val="left"/>
        <w:rPr>
          <w:rStyle w:val="FontStyle81"/>
          <w:lang w:val="hr-HR" w:eastAsia="hr-HR"/>
        </w:rPr>
      </w:pPr>
      <w:r>
        <w:rPr>
          <w:rStyle w:val="FontStyle81"/>
          <w:lang w:val="hr-HR" w:eastAsia="hr-HR"/>
        </w:rPr>
        <w:t>bolesti (IIB - IVA)</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8" w:line="274" w:lineRule="exact"/>
        <w:rPr>
          <w:rStyle w:val="FontStyle81"/>
          <w:lang w:val="hr-HR" w:eastAsia="hr-HR"/>
        </w:rPr>
      </w:pPr>
      <w:r>
        <w:rPr>
          <w:rStyle w:val="FontStyle81"/>
          <w:lang w:val="hr-HR" w:eastAsia="hr-HR"/>
        </w:rPr>
        <w:t>Sluznica vagine, grlića i tijela materice imaju izvanrednu toleraciju na zračenje, za razliku od rektuma, mokraćne bešike, tankog crijeva, što se mora imati u vidu prilikom planiranja radioterapije. U radioterapii se primjenjuje vanjsko zračenje sa fotonima visokih energija na kobaltu ili linearnom akceleratoru sa poljem koje obuhvata pelvis i primarnu leziju i intrakavitarna brahiterapija sa radioaktivnim izvorima Co-60, Cs-137, Ir-192, niskog, srednjeg i visokog intenziteta zračenja, koji se uvode u cervikalni kanal i svodove vagine.</w:t>
      </w:r>
    </w:p>
    <w:p w:rsidR="00BF7CA8" w:rsidRPr="00B64E0B" w:rsidRDefault="00BF7CA8" w:rsidP="00BF7CA8">
      <w:pPr>
        <w:pStyle w:val="Style36"/>
        <w:widowControl/>
        <w:spacing w:line="240" w:lineRule="exact"/>
        <w:jc w:val="both"/>
        <w:rPr>
          <w:sz w:val="20"/>
          <w:szCs w:val="20"/>
          <w:lang w:val="hr-HR"/>
        </w:rPr>
      </w:pPr>
    </w:p>
    <w:p w:rsidR="00BF7CA8" w:rsidRDefault="00BF7CA8" w:rsidP="00BF7CA8">
      <w:pPr>
        <w:pStyle w:val="Style36"/>
        <w:widowControl/>
        <w:spacing w:before="34" w:line="274" w:lineRule="exact"/>
        <w:jc w:val="both"/>
        <w:rPr>
          <w:rStyle w:val="FontStyle81"/>
          <w:lang w:val="hr-HR" w:eastAsia="hr-HR"/>
        </w:rPr>
      </w:pPr>
      <w:r>
        <w:rPr>
          <w:rStyle w:val="FontStyle81"/>
          <w:lang w:val="hr-HR" w:eastAsia="hr-HR"/>
        </w:rPr>
        <w:t>U toku terapije prvo se primjenjuje eksternalno zračenje da se unište ćelije na periferiji tumora, reducira tumorski volumen i omogući opskrba kisikom malignih ćelija u centralnom dijelu tumora. Ukupna doza perkutanog i intrakavitarnog zračenja u tački A iznosi 70-80</w:t>
      </w:r>
    </w:p>
    <w:p w:rsidR="00BF7CA8" w:rsidRDefault="00BF7CA8" w:rsidP="00BF7CA8">
      <w:pPr>
        <w:pStyle w:val="Style35"/>
        <w:widowControl/>
        <w:spacing w:before="14" w:line="240" w:lineRule="auto"/>
        <w:jc w:val="left"/>
        <w:rPr>
          <w:rStyle w:val="FontStyle81"/>
          <w:lang w:val="hr-HR" w:eastAsia="hr-HR"/>
        </w:rPr>
      </w:pPr>
      <w:r>
        <w:rPr>
          <w:rStyle w:val="FontStyle81"/>
          <w:lang w:val="hr-HR" w:eastAsia="hr-HR"/>
        </w:rPr>
        <w:t>greja.</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43" w:line="274" w:lineRule="exact"/>
        <w:rPr>
          <w:rStyle w:val="FontStyle81"/>
          <w:lang w:val="hr-HR" w:eastAsia="hr-HR"/>
        </w:rPr>
      </w:pPr>
      <w:r>
        <w:rPr>
          <w:rStyle w:val="FontStyle81"/>
          <w:lang w:val="hr-HR" w:eastAsia="hr-HR"/>
        </w:rPr>
        <w:t>Preoperativno zračenje se primjenjuje kod tumora većih od 4 cm i endocervikalnih lokalizacija. Cilj preoperativnog zračenjaa je smanjenje volumena tumora, sterilizacija pelvičnih limfonoda i sprječavanje diseminacije malignih ćelija za vrijeme naknadnog operativnog zahvata.</w:t>
      </w:r>
    </w:p>
    <w:p w:rsidR="00BF7CA8" w:rsidRPr="00B64E0B" w:rsidRDefault="00BF7CA8" w:rsidP="00BF7CA8">
      <w:pPr>
        <w:pStyle w:val="Style36"/>
        <w:widowControl/>
        <w:spacing w:line="240" w:lineRule="exact"/>
        <w:jc w:val="both"/>
        <w:rPr>
          <w:sz w:val="20"/>
          <w:szCs w:val="20"/>
          <w:lang w:val="hr-HR"/>
        </w:rPr>
      </w:pPr>
    </w:p>
    <w:p w:rsidR="00BF7CA8" w:rsidRDefault="00BF7CA8" w:rsidP="00BF7CA8">
      <w:pPr>
        <w:pStyle w:val="Style36"/>
        <w:widowControl/>
        <w:spacing w:before="38" w:line="274" w:lineRule="exact"/>
        <w:jc w:val="both"/>
        <w:rPr>
          <w:rStyle w:val="FontStyle81"/>
          <w:lang w:val="hr-HR" w:eastAsia="hr-HR"/>
        </w:rPr>
      </w:pPr>
      <w:r>
        <w:rPr>
          <w:rStyle w:val="FontStyle81"/>
          <w:lang w:val="hr-HR" w:eastAsia="hr-HR"/>
        </w:rPr>
        <w:t>Lokalni recidivi u pelvisu ili paraaortalnim limfonodima mogu se tretirati zračenjem i kemoterapijom, što može rezultirati dobrim odgovorom i dužim periodom bez prisustva bolesti. Petogodišnje preživljavanje bolesnica u stadiju IIB je oko 60%, u stadiju III 30%, a u</w:t>
      </w:r>
    </w:p>
    <w:p w:rsidR="00BF7CA8" w:rsidRDefault="00BF7CA8" w:rsidP="00BF7CA8">
      <w:pPr>
        <w:pStyle w:val="Style35"/>
        <w:widowControl/>
        <w:spacing w:before="14" w:line="240" w:lineRule="auto"/>
        <w:jc w:val="left"/>
        <w:rPr>
          <w:rStyle w:val="FontStyle81"/>
          <w:lang w:val="hr-HR" w:eastAsia="hr-HR"/>
        </w:rPr>
      </w:pPr>
      <w:r>
        <w:rPr>
          <w:rStyle w:val="FontStyle81"/>
          <w:lang w:val="hr-HR" w:eastAsia="hr-HR"/>
        </w:rPr>
        <w:t>stadiju IV oko 10%.</w:t>
      </w:r>
    </w:p>
    <w:p w:rsidR="00BF7CA8" w:rsidRDefault="00BF7CA8" w:rsidP="00BF7CA8">
      <w:pPr>
        <w:pStyle w:val="Style35"/>
        <w:widowControl/>
        <w:spacing w:before="53" w:line="274" w:lineRule="exact"/>
        <w:rPr>
          <w:rStyle w:val="FontStyle81"/>
          <w:lang w:val="hr-HR" w:eastAsia="hr-HR"/>
        </w:rPr>
      </w:pPr>
      <w:r>
        <w:rPr>
          <w:rStyle w:val="FontStyle81"/>
          <w:lang w:val="hr-HR" w:eastAsia="hr-HR"/>
        </w:rPr>
        <w:t>Postoperativni ili postiradijacioni recidivi nastali nakon operacija ili zračenja, ogrančeni na pelvis mogu se an bloc ukloniti zajedno sa grlićem i tijelom materice (ukoliko nisu ranije operativno uklonjeni), vaginom, mokraćnom bešikom ili rektumom.</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29" w:line="278" w:lineRule="exact"/>
        <w:rPr>
          <w:rStyle w:val="FontStyle81"/>
          <w:lang w:val="hr-HR" w:eastAsia="hr-HR"/>
        </w:rPr>
      </w:pPr>
      <w:r>
        <w:rPr>
          <w:rStyle w:val="FontStyle81"/>
          <w:lang w:val="hr-HR" w:eastAsia="hr-HR"/>
        </w:rPr>
        <w:t>Palijativna radioterapija se primjenjuje kod uznapredovalih tumora koji su zahvatili rektum, mokraćnu bešiku i vaginu i prouzrokovali obilna krvarenja.</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Kemoterapija se može primjenjivati kod lokalno uznapredovalih tumora prije operacije ili zračenja sa ciljem redukcije tumorskog volumena i omogućavanja naknadnog hirurškog zahvata. Neoadjuvantna kemoterapija daje visok procenat odgovora, ali ne poboljšava rezultate preživljavanja.</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29" w:line="278" w:lineRule="exact"/>
        <w:rPr>
          <w:rStyle w:val="FontStyle81"/>
          <w:lang w:val="hr-HR" w:eastAsia="hr-HR"/>
        </w:rPr>
      </w:pPr>
      <w:r>
        <w:rPr>
          <w:rStyle w:val="FontStyle81"/>
          <w:lang w:val="hr-HR" w:eastAsia="hr-HR"/>
        </w:rPr>
        <w:t>Poboljšanje lokalne kontrole bolesti i produženo preživaljavanje bolesnica postignuto je primjenom konkomitantne radioterapije i kemoterapije kod lokalno uznapredovalih tumora u</w:t>
      </w:r>
    </w:p>
    <w:p w:rsidR="00BF7CA8" w:rsidRDefault="00BF7CA8" w:rsidP="00BF7CA8">
      <w:pPr>
        <w:pStyle w:val="Style35"/>
        <w:widowControl/>
        <w:spacing w:before="14" w:line="240" w:lineRule="auto"/>
        <w:jc w:val="left"/>
        <w:rPr>
          <w:rStyle w:val="FontStyle81"/>
          <w:lang w:val="hr-HR" w:eastAsia="hr-HR"/>
        </w:rPr>
      </w:pPr>
      <w:r>
        <w:rPr>
          <w:rStyle w:val="FontStyle81"/>
          <w:lang w:val="hr-HR" w:eastAsia="hr-HR"/>
        </w:rPr>
        <w:t>stadiju IIB i IIIB.</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8" w:line="274" w:lineRule="exact"/>
        <w:rPr>
          <w:rStyle w:val="FontStyle81"/>
          <w:lang w:val="hr-HR" w:eastAsia="hr-HR"/>
        </w:rPr>
      </w:pPr>
      <w:r>
        <w:rPr>
          <w:rStyle w:val="FontStyle81"/>
          <w:lang w:val="hr-HR" w:eastAsia="hr-HR"/>
        </w:rPr>
        <w:t>Od kemoterapijskih protokola najčešće se primjenjuju kombinacija Cisplatina sa 5 FU ili Cisplatina sa Bleomicinom, ukupno 2 ciklusa u razmacima od 3 nedjelje, uz perkutano i intrakavitano zračenje sa dozom od 65 Gy.</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Palijativna kemoterapija se primjenjuje kod recidivirajućih procesa nakon lokalne teapije, kao i kod udaljenih metastaza sa procentom remisija svega 1O%, i sa vrlo karatkim vremenom trajanja odgovora.</w:t>
      </w:r>
    </w:p>
    <w:p w:rsidR="00BF7CA8" w:rsidRPr="00B64E0B" w:rsidRDefault="00BF7CA8" w:rsidP="00BF7CA8">
      <w:pPr>
        <w:pStyle w:val="Style34"/>
        <w:widowControl/>
        <w:spacing w:line="240" w:lineRule="exact"/>
        <w:jc w:val="left"/>
        <w:rPr>
          <w:sz w:val="20"/>
          <w:szCs w:val="20"/>
          <w:lang w:val="hr-HR"/>
        </w:rPr>
      </w:pPr>
    </w:p>
    <w:p w:rsidR="00BF7CA8" w:rsidRPr="00B64E0B" w:rsidRDefault="00BF7CA8" w:rsidP="00BF7CA8">
      <w:pPr>
        <w:pStyle w:val="Style34"/>
        <w:widowControl/>
        <w:spacing w:line="240" w:lineRule="exact"/>
        <w:jc w:val="left"/>
        <w:rPr>
          <w:sz w:val="20"/>
          <w:szCs w:val="20"/>
          <w:lang w:val="hr-HR"/>
        </w:rPr>
      </w:pPr>
    </w:p>
    <w:p w:rsidR="00BF7CA8" w:rsidRPr="00B64E0B" w:rsidRDefault="00BF7CA8" w:rsidP="00BF7CA8">
      <w:pPr>
        <w:pStyle w:val="Style34"/>
        <w:widowControl/>
        <w:spacing w:line="240" w:lineRule="exact"/>
        <w:jc w:val="left"/>
        <w:rPr>
          <w:sz w:val="20"/>
          <w:szCs w:val="20"/>
          <w:lang w:val="hr-HR"/>
        </w:rPr>
      </w:pPr>
    </w:p>
    <w:p w:rsidR="00BF7CA8" w:rsidRDefault="00BF7CA8" w:rsidP="00BF7CA8">
      <w:pPr>
        <w:pStyle w:val="Style34"/>
        <w:widowControl/>
        <w:spacing w:before="125"/>
        <w:jc w:val="left"/>
        <w:rPr>
          <w:rStyle w:val="FontStyle76"/>
          <w:lang w:val="hr-HR" w:eastAsia="hr-HR"/>
        </w:rPr>
      </w:pPr>
      <w:r>
        <w:rPr>
          <w:rStyle w:val="FontStyle76"/>
          <w:lang w:val="hr-HR" w:eastAsia="hr-HR"/>
        </w:rPr>
        <w:t>RAK ENDOMETRIJA</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8" w:line="274" w:lineRule="exact"/>
        <w:rPr>
          <w:rStyle w:val="FontStyle81"/>
          <w:lang w:val="hr-HR" w:eastAsia="hr-HR"/>
        </w:rPr>
      </w:pPr>
      <w:r>
        <w:rPr>
          <w:rStyle w:val="FontStyle81"/>
          <w:lang w:val="hr-HR" w:eastAsia="hr-HR"/>
        </w:rPr>
        <w:t>Rak endometrija se po učestalosti u zapadnim zemljama nalazi na četvrtom mjestu obolijevanja od malignih oboljenja kod žena, iza raka dojke, debelog crijeva i pluća. Najčešće se javlja kod menopauzalnih žena (prosječna starosna dob bolesnica je 58 godina) i pokazuje tendenciju rasta.</w:t>
      </w:r>
    </w:p>
    <w:p w:rsidR="00BF7CA8" w:rsidRPr="00B64E0B" w:rsidRDefault="00BF7CA8" w:rsidP="00BF7CA8">
      <w:pPr>
        <w:pStyle w:val="Style35"/>
        <w:widowControl/>
        <w:spacing w:line="240" w:lineRule="exact"/>
        <w:rPr>
          <w:sz w:val="20"/>
          <w:szCs w:val="20"/>
          <w:lang w:val="hr-HR"/>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Žene sa dugotrajnom aktivnošću jajnika (primarni sterilitet, kasna menopauza) disfunkcijskim anovulatornim krvarenjima, polipozom, miomima, raznih oblicima adenomatozne hiperplazije i policistoze jajnika imaju povećni rizik obolijevanja. Kod svih ovih stanja povećana je produkcija estrogena koji stimulišu proliferaciju ćelija endometrija. Ostali rizični faktori su gojaznost, hipertenzija, dijabetes, ishrana bogata životinjskim mastima i nasljednost (povezanost raka endometrija sa rakom dojke, debelog crijeva i jajnika u porodici). Kod gojaznih žena povišena je koncentracija estrogena u serumu i ubrzana konverzija androgenih prekursora u estrogene. Progesteron smanjuje aktivnost ćelija endometrija, blokira vezivanje estrogena za receptore i vrši konverziju estradiola u manje aktivnih estron.</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Rak endometrija se može razviti iz normalne, atrofične i hiperplastične sluznice u vidu solitarnog čvora, polipa ili tumorske mase koja potpuno ispunjava šupljinu uterusa. Kod mlađih žena koje su izložene prolongiranom djelovanju estrogena uz nepromijenjeni nivo progesterona, karcinomi endometrija se razvijaju u hperplastičnoj sluznici, obično su dobro diferencirani tumori sa povoljnom prognozom i otkrivaju se u ranim stadijima bolesti. Tumori koji se razvijaju iz atrofične sluznice se estrogen neovisni, slabo diferencirani tmori, kasno se otkrivaju i imaju lošu prognozu.</w:t>
      </w:r>
    </w:p>
    <w:p w:rsidR="00BF7CA8" w:rsidRDefault="00BF7CA8" w:rsidP="00BF7CA8">
      <w:pPr>
        <w:pStyle w:val="Style35"/>
        <w:widowControl/>
        <w:spacing w:before="53" w:line="274" w:lineRule="exact"/>
        <w:rPr>
          <w:rStyle w:val="FontStyle81"/>
          <w:lang w:val="hr-HR" w:eastAsia="hr-HR"/>
        </w:rPr>
      </w:pPr>
      <w:r>
        <w:rPr>
          <w:rStyle w:val="FontStyle81"/>
          <w:lang w:val="hr-HR" w:eastAsia="hr-HR"/>
        </w:rPr>
        <w:t>Prekomjerna ekspresija onkogena HER-2-neu i c-myc se nalazi kod 2/3 bolesnica oboljelih od raka endometrija. Antiestrogeni hormoni, koji se koriste u liječenju raka dojke, kod dugotrajne aplikacije stimuliraju proliferaciju ćelija endometrija i mogu izazvati rak.</w:t>
      </w:r>
    </w:p>
    <w:p w:rsidR="00BF7CA8" w:rsidRPr="00B64E0B" w:rsidRDefault="00BF7CA8" w:rsidP="00BF7CA8">
      <w:pPr>
        <w:pStyle w:val="Style34"/>
        <w:widowControl/>
        <w:spacing w:line="240" w:lineRule="exact"/>
        <w:rPr>
          <w:sz w:val="20"/>
          <w:szCs w:val="20"/>
          <w:lang w:val="hr-HR"/>
        </w:rPr>
      </w:pPr>
    </w:p>
    <w:p w:rsidR="00BF7CA8" w:rsidRDefault="00BF7CA8" w:rsidP="00BF7CA8">
      <w:pPr>
        <w:pStyle w:val="Style34"/>
        <w:widowControl/>
        <w:spacing w:before="38" w:line="274" w:lineRule="exact"/>
        <w:rPr>
          <w:rStyle w:val="FontStyle76"/>
          <w:lang w:val="hr-HR" w:eastAsia="hr-HR"/>
        </w:rPr>
      </w:pPr>
      <w:r>
        <w:rPr>
          <w:rStyle w:val="FontStyle76"/>
          <w:lang w:val="hr-HR" w:eastAsia="hr-HR"/>
        </w:rPr>
        <w:t>Prema klasifikaciji Međunarodnog društva ginekoloških patologa rak endometrija se dijeli na</w:t>
      </w:r>
    </w:p>
    <w:p w:rsidR="00BF7CA8" w:rsidRDefault="00BF7CA8" w:rsidP="00BF7CA8">
      <w:pPr>
        <w:pStyle w:val="Style6"/>
        <w:widowControl/>
        <w:numPr>
          <w:ilvl w:val="0"/>
          <w:numId w:val="1"/>
        </w:numPr>
        <w:tabs>
          <w:tab w:val="left" w:pos="778"/>
        </w:tabs>
        <w:ind w:left="778"/>
        <w:rPr>
          <w:rStyle w:val="FontStyle81"/>
          <w:lang w:val="hr-HR" w:eastAsia="hr-HR"/>
        </w:rPr>
      </w:pPr>
      <w:r>
        <w:rPr>
          <w:rStyle w:val="FontStyle81"/>
          <w:lang w:val="hr-HR" w:eastAsia="hr-HR"/>
        </w:rPr>
        <w:t>Endometroidni (adenocarcinoma endometroides):  papilarni,  sekretorni,  cilijarni, adenokarcinom sa pločastom metaplazijom (adenocanthoma adenoskvamozni rak).</w:t>
      </w:r>
    </w:p>
    <w:p w:rsidR="00BF7CA8" w:rsidRDefault="00BF7CA8" w:rsidP="00BF7CA8">
      <w:pPr>
        <w:pStyle w:val="Style6"/>
        <w:widowControl/>
        <w:numPr>
          <w:ilvl w:val="0"/>
          <w:numId w:val="1"/>
        </w:numPr>
        <w:tabs>
          <w:tab w:val="left" w:pos="778"/>
        </w:tabs>
        <w:ind w:left="365" w:firstLine="0"/>
        <w:rPr>
          <w:rStyle w:val="FontStyle81"/>
          <w:lang w:val="hr-HR" w:eastAsia="hr-HR"/>
        </w:rPr>
      </w:pPr>
      <w:r>
        <w:rPr>
          <w:rStyle w:val="FontStyle81"/>
          <w:lang w:val="hr-HR" w:eastAsia="hr-HR"/>
        </w:rPr>
        <w:t>Mucinozni</w:t>
      </w:r>
    </w:p>
    <w:p w:rsidR="00BF7CA8" w:rsidRDefault="00BF7CA8" w:rsidP="00BF7CA8">
      <w:pPr>
        <w:pStyle w:val="Style6"/>
        <w:widowControl/>
        <w:numPr>
          <w:ilvl w:val="0"/>
          <w:numId w:val="1"/>
        </w:numPr>
        <w:tabs>
          <w:tab w:val="left" w:pos="778"/>
        </w:tabs>
        <w:ind w:left="365" w:firstLine="0"/>
        <w:rPr>
          <w:rStyle w:val="FontStyle81"/>
          <w:lang w:val="hr-HR" w:eastAsia="hr-HR"/>
        </w:rPr>
      </w:pPr>
      <w:r>
        <w:rPr>
          <w:rStyle w:val="FontStyle81"/>
          <w:lang w:val="hr-HR" w:eastAsia="hr-HR"/>
        </w:rPr>
        <w:t>Serozni</w:t>
      </w:r>
    </w:p>
    <w:p w:rsidR="00BF7CA8" w:rsidRDefault="00BF7CA8" w:rsidP="00BF7CA8">
      <w:pPr>
        <w:pStyle w:val="Style6"/>
        <w:widowControl/>
        <w:numPr>
          <w:ilvl w:val="0"/>
          <w:numId w:val="1"/>
        </w:numPr>
        <w:tabs>
          <w:tab w:val="left" w:pos="778"/>
        </w:tabs>
        <w:ind w:left="365" w:firstLine="0"/>
        <w:rPr>
          <w:rStyle w:val="FontStyle81"/>
          <w:lang w:val="hr-HR" w:eastAsia="hr-HR"/>
        </w:rPr>
      </w:pPr>
      <w:r>
        <w:rPr>
          <w:rStyle w:val="FontStyle81"/>
          <w:lang w:val="hr-HR" w:eastAsia="hr-HR"/>
        </w:rPr>
        <w:t>Karcinom svijetlih ćelija</w:t>
      </w:r>
    </w:p>
    <w:p w:rsidR="00BF7CA8" w:rsidRDefault="00BF7CA8" w:rsidP="00BF7CA8">
      <w:pPr>
        <w:pStyle w:val="Style6"/>
        <w:widowControl/>
        <w:numPr>
          <w:ilvl w:val="0"/>
          <w:numId w:val="1"/>
        </w:numPr>
        <w:tabs>
          <w:tab w:val="left" w:pos="778"/>
        </w:tabs>
        <w:ind w:left="365" w:firstLine="0"/>
        <w:rPr>
          <w:rStyle w:val="FontStyle81"/>
          <w:lang w:val="hr-HR" w:eastAsia="hr-HR"/>
        </w:rPr>
      </w:pPr>
      <w:r>
        <w:rPr>
          <w:rStyle w:val="FontStyle81"/>
          <w:lang w:val="hr-HR" w:eastAsia="hr-HR"/>
        </w:rPr>
        <w:t>Pločasti</w:t>
      </w:r>
    </w:p>
    <w:p w:rsidR="00BF7CA8" w:rsidRDefault="00BF7CA8" w:rsidP="00BF7CA8">
      <w:pPr>
        <w:pStyle w:val="Style6"/>
        <w:widowControl/>
        <w:numPr>
          <w:ilvl w:val="0"/>
          <w:numId w:val="1"/>
        </w:numPr>
        <w:tabs>
          <w:tab w:val="left" w:pos="778"/>
        </w:tabs>
        <w:ind w:left="365" w:firstLine="0"/>
        <w:rPr>
          <w:rStyle w:val="FontStyle81"/>
          <w:lang w:val="hr-HR" w:eastAsia="hr-HR"/>
        </w:rPr>
      </w:pPr>
      <w:r>
        <w:rPr>
          <w:rStyle w:val="FontStyle81"/>
          <w:lang w:val="hr-HR" w:eastAsia="hr-HR"/>
        </w:rPr>
        <w:t>Nediferencirani (ca anaplasticum)</w:t>
      </w:r>
    </w:p>
    <w:p w:rsidR="00BF7CA8" w:rsidRDefault="00BF7CA8" w:rsidP="00BF7CA8">
      <w:pPr>
        <w:pStyle w:val="Style6"/>
        <w:widowControl/>
        <w:numPr>
          <w:ilvl w:val="0"/>
          <w:numId w:val="1"/>
        </w:numPr>
        <w:tabs>
          <w:tab w:val="left" w:pos="778"/>
        </w:tabs>
        <w:ind w:left="365" w:firstLine="0"/>
        <w:rPr>
          <w:rStyle w:val="FontStyle81"/>
          <w:lang w:val="hr-HR" w:eastAsia="hr-HR"/>
        </w:rPr>
      </w:pPr>
      <w:r>
        <w:rPr>
          <w:rStyle w:val="FontStyle81"/>
          <w:lang w:val="hr-HR" w:eastAsia="hr-HR"/>
        </w:rPr>
        <w:t>Miješani</w:t>
      </w:r>
    </w:p>
    <w:p w:rsidR="00BF7CA8" w:rsidRDefault="00BF7CA8" w:rsidP="00BF7CA8">
      <w:pPr>
        <w:pStyle w:val="Style6"/>
        <w:widowControl/>
        <w:numPr>
          <w:ilvl w:val="0"/>
          <w:numId w:val="1"/>
        </w:numPr>
        <w:tabs>
          <w:tab w:val="left" w:pos="778"/>
        </w:tabs>
        <w:ind w:left="365" w:firstLine="0"/>
        <w:rPr>
          <w:rStyle w:val="FontStyle81"/>
          <w:lang w:val="hr-HR" w:eastAsia="hr-HR"/>
        </w:rPr>
      </w:pPr>
      <w:r>
        <w:rPr>
          <w:rStyle w:val="FontStyle81"/>
          <w:lang w:val="hr-HR" w:eastAsia="hr-HR"/>
        </w:rPr>
        <w:t>Metastatski</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Adenokarcinomi su najčešći maligni tumori endometrija, a prema stepenu diferenciranosti se dijele na dobro diferencirane (50%), koji su skoro u potpunosti građeni od žljezdanih formacija, srednje diferencirane (35%) sa žljezdanim i solidnim ćelijama i slabo diferencirani (15%) sa pretežno epitelijalnim ćelijama, dok je žljezdano tkivo skoro u pptpunosti nestalo. Što je tumor slabije diferenciran, biološki je agresivniji i prognostiki nepovoljniji.</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lastRenderedPageBreak/>
        <w:t>Leiomyosarcomi su rijetki tumori koji se prepoznaju po izraženom ćelijskom pleomorfizmu i gigantskim tumorskim ćelijama. U maligne sarkome spadaju i stromalni tumork, niskog i visokog malignog potencijala.</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Prognoza bolesti je ovisna o histološkom tipu i stepenu diferencijacije tumora, dubini tumorske invazije u miometrij, širenju procesa na grlić, zahvaćenosti limfonoda i limfovaskularnoj invaziji.</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Najčešći rani znak raka endometrija su krvarenja i menopauzi. Ukoliko je cervikalni kanal obliteriran, dolazi do nakupljanja krvi u šupljini materice, ovećanja njenog volumena, kompresije na okolne organe i bolova u predjelu donjeg abdomena. Rak endometrija se širi u svim pravcima na cerviks, parametrija, vaginu, mokraćnu bešiku, debelo crijevo, što je praćeno hematurijama, opstipacijama, ileusom ili uremijama. Kod duboke invazije tumora u miometrij dolazi do metastaziranja limfonoda limfonoda u pelvis i u paraaortalnu regiju. Najčešća mjesta hematogenog metastaziranja su pluća, kosti, jetra i mozak.</w:t>
      </w:r>
    </w:p>
    <w:p w:rsidR="00BF7CA8" w:rsidRDefault="00BF7CA8" w:rsidP="00BF7CA8">
      <w:pPr>
        <w:pStyle w:val="Style35"/>
        <w:widowControl/>
        <w:spacing w:line="240" w:lineRule="exact"/>
        <w:rPr>
          <w:sz w:val="20"/>
          <w:szCs w:val="20"/>
        </w:rPr>
      </w:pPr>
    </w:p>
    <w:p w:rsidR="00BF7CA8" w:rsidRDefault="00BF7CA8" w:rsidP="00BF7CA8">
      <w:pPr>
        <w:pStyle w:val="Style35"/>
        <w:widowControl/>
        <w:spacing w:before="34" w:line="274" w:lineRule="exact"/>
        <w:rPr>
          <w:rStyle w:val="FontStyle81"/>
          <w:lang w:val="hr-HR" w:eastAsia="hr-HR"/>
        </w:rPr>
      </w:pPr>
      <w:r>
        <w:rPr>
          <w:rStyle w:val="FontStyle81"/>
          <w:lang w:val="hr-HR" w:eastAsia="hr-HR"/>
        </w:rPr>
        <w:t>Kod svakog postmenopauzalnog krvarenja treba obavezno izvršiti dilataciju materice sa frakcioniranom kiretažom, posebno endocerviksa i šupljine materice. Uzorci biopsije se koriste i za određivanje estrogenskih i progesteronskih receptora, kao i za druge relevantne pretrage (DNA flow citometrija i ploidija, ekspresija HER 2/neu, C-myc onkogena, tumorski markeri). Ultrazvučni pregled vaginalnom sondom, i.v. urografija, kompjuterizovana tomografija i magnetska rezonanca se koriste u određivanju lokalizacije i volumena tumora, kao i stepena penetracije miometrija.</w:t>
      </w:r>
    </w:p>
    <w:p w:rsidR="00BF7CA8" w:rsidRDefault="00BF7CA8" w:rsidP="00BF7CA8">
      <w:pPr>
        <w:pStyle w:val="Style36"/>
        <w:widowControl/>
        <w:spacing w:line="552" w:lineRule="exact"/>
        <w:ind w:right="1325"/>
        <w:rPr>
          <w:rStyle w:val="FontStyle76"/>
          <w:lang w:val="hr-HR" w:eastAsia="hr-HR"/>
        </w:rPr>
      </w:pPr>
      <w:r>
        <w:rPr>
          <w:rStyle w:val="FontStyle81"/>
          <w:lang w:val="hr-HR" w:eastAsia="hr-HR"/>
        </w:rPr>
        <w:t xml:space="preserve">Za određivanje stadija bolesti u kliničku praksu je uvedena FIGO klasifikacija. </w:t>
      </w:r>
      <w:r>
        <w:rPr>
          <w:rStyle w:val="FontStyle76"/>
          <w:lang w:val="hr-HR" w:eastAsia="hr-HR"/>
        </w:rPr>
        <w:t>Podjela raka endometrija prema FIGO klasifikaciji</w:t>
      </w:r>
    </w:p>
    <w:p w:rsidR="00BF7CA8" w:rsidRDefault="00BF7CA8" w:rsidP="00BF7CA8">
      <w:pPr>
        <w:pStyle w:val="Style42"/>
        <w:widowControl/>
        <w:tabs>
          <w:tab w:val="left" w:pos="1349"/>
          <w:tab w:val="left" w:pos="1421"/>
        </w:tabs>
        <w:spacing w:before="53"/>
        <w:ind w:right="4608"/>
        <w:jc w:val="left"/>
        <w:rPr>
          <w:rStyle w:val="FontStyle81"/>
          <w:lang w:val="hr-HR" w:eastAsia="hr-HR"/>
        </w:rPr>
      </w:pPr>
      <w:r>
        <w:rPr>
          <w:rStyle w:val="FontStyle81"/>
          <w:lang w:val="hr-HR" w:eastAsia="hr-HR"/>
        </w:rPr>
        <w:t>I</w:t>
      </w:r>
      <w:r>
        <w:rPr>
          <w:rStyle w:val="FontStyle81"/>
          <w:sz w:val="20"/>
          <w:szCs w:val="20"/>
          <w:lang w:val="hr-HR" w:eastAsia="hr-HR"/>
        </w:rPr>
        <w:tab/>
      </w:r>
      <w:r>
        <w:rPr>
          <w:rStyle w:val="FontStyle81"/>
          <w:lang w:val="hr-HR" w:eastAsia="hr-HR"/>
        </w:rPr>
        <w:t>Tumor ogrfaničen na korpus</w:t>
      </w:r>
      <w:r>
        <w:rPr>
          <w:rStyle w:val="FontStyle81"/>
          <w:lang w:val="hr-HR" w:eastAsia="hr-HR"/>
        </w:rPr>
        <w:br/>
        <w:t>IA G1,2,3</w:t>
      </w:r>
      <w:r>
        <w:rPr>
          <w:rStyle w:val="FontStyle81"/>
          <w:sz w:val="20"/>
          <w:szCs w:val="20"/>
          <w:lang w:val="hr-HR" w:eastAsia="hr-HR"/>
        </w:rPr>
        <w:tab/>
      </w:r>
      <w:r>
        <w:rPr>
          <w:rStyle w:val="FontStyle81"/>
          <w:lang w:val="hr-HR" w:eastAsia="hr-HR"/>
        </w:rPr>
        <w:t>Tumor ograničen na endometrij</w:t>
      </w:r>
    </w:p>
    <w:p w:rsidR="00BF7CA8" w:rsidRDefault="00BF7CA8" w:rsidP="00BF7CA8">
      <w:pPr>
        <w:pStyle w:val="Style9"/>
        <w:widowControl/>
        <w:tabs>
          <w:tab w:val="left" w:pos="1349"/>
        </w:tabs>
        <w:spacing w:before="5" w:line="274" w:lineRule="exact"/>
        <w:jc w:val="left"/>
        <w:rPr>
          <w:rStyle w:val="FontStyle81"/>
          <w:lang w:val="hr-HR" w:eastAsia="hr-HR"/>
        </w:rPr>
      </w:pPr>
      <w:r>
        <w:rPr>
          <w:rStyle w:val="FontStyle81"/>
          <w:lang w:val="hr-HR" w:eastAsia="hr-HR"/>
        </w:rPr>
        <w:t>IB G1,2,3</w:t>
      </w:r>
      <w:r>
        <w:rPr>
          <w:rStyle w:val="FontStyle81"/>
          <w:sz w:val="20"/>
          <w:szCs w:val="20"/>
          <w:lang w:val="hr-HR" w:eastAsia="hr-HR"/>
        </w:rPr>
        <w:tab/>
      </w:r>
      <w:r>
        <w:rPr>
          <w:rStyle w:val="FontStyle81"/>
          <w:lang w:val="hr-HR" w:eastAsia="hr-HR"/>
        </w:rPr>
        <w:t>Invazija tumora do % debljine miometrija</w:t>
      </w:r>
    </w:p>
    <w:p w:rsidR="00BF7CA8" w:rsidRDefault="00BF7CA8" w:rsidP="00BF7CA8">
      <w:pPr>
        <w:pStyle w:val="Style9"/>
        <w:widowControl/>
        <w:tabs>
          <w:tab w:val="left" w:pos="1349"/>
        </w:tabs>
        <w:spacing w:line="274" w:lineRule="exact"/>
        <w:jc w:val="left"/>
        <w:rPr>
          <w:rStyle w:val="FontStyle81"/>
          <w:lang w:val="hr-HR" w:eastAsia="hr-HR"/>
        </w:rPr>
      </w:pPr>
      <w:r>
        <w:rPr>
          <w:rStyle w:val="FontStyle81"/>
          <w:lang w:val="hr-HR" w:eastAsia="hr-HR"/>
        </w:rPr>
        <w:t>IC G1,2,3</w:t>
      </w:r>
      <w:r>
        <w:rPr>
          <w:rStyle w:val="FontStyle81"/>
          <w:sz w:val="20"/>
          <w:szCs w:val="20"/>
          <w:lang w:val="hr-HR" w:eastAsia="hr-HR"/>
        </w:rPr>
        <w:tab/>
      </w:r>
      <w:r>
        <w:rPr>
          <w:rStyle w:val="FontStyle81"/>
          <w:lang w:val="hr-HR" w:eastAsia="hr-HR"/>
        </w:rPr>
        <w:t>Invazija tumora više od % debljine miometrija</w:t>
      </w:r>
    </w:p>
    <w:p w:rsidR="00BF7CA8" w:rsidRDefault="00BF7CA8" w:rsidP="00BF7CA8">
      <w:pPr>
        <w:pStyle w:val="Style42"/>
        <w:widowControl/>
        <w:tabs>
          <w:tab w:val="left" w:pos="1349"/>
          <w:tab w:val="left" w:pos="1421"/>
        </w:tabs>
        <w:spacing w:before="34"/>
        <w:ind w:right="1843"/>
        <w:jc w:val="left"/>
        <w:rPr>
          <w:rStyle w:val="FontStyle81"/>
          <w:lang w:val="hr-HR" w:eastAsia="hr-HR"/>
        </w:rPr>
      </w:pPr>
      <w:r>
        <w:rPr>
          <w:rStyle w:val="FontStyle81"/>
          <w:lang w:val="hr-HR" w:eastAsia="hr-HR"/>
        </w:rPr>
        <w:t>II</w:t>
      </w:r>
      <w:r>
        <w:rPr>
          <w:rStyle w:val="FontStyle81"/>
          <w:sz w:val="20"/>
          <w:szCs w:val="20"/>
          <w:lang w:val="hr-HR" w:eastAsia="hr-HR"/>
        </w:rPr>
        <w:tab/>
      </w:r>
      <w:r>
        <w:rPr>
          <w:rStyle w:val="FontStyle81"/>
          <w:lang w:val="hr-HR" w:eastAsia="hr-HR"/>
        </w:rPr>
        <w:t>Tumor zahvata i tijelo i cerviks materice, ali se ne širi izvan</w:t>
      </w:r>
      <w:r>
        <w:rPr>
          <w:rStyle w:val="FontStyle81"/>
          <w:lang w:val="hr-HR" w:eastAsia="hr-HR"/>
        </w:rPr>
        <w:br/>
        <w:t>IIA G1,2,3</w:t>
      </w:r>
      <w:r>
        <w:rPr>
          <w:rStyle w:val="FontStyle81"/>
          <w:sz w:val="20"/>
          <w:szCs w:val="20"/>
          <w:lang w:val="hr-HR" w:eastAsia="hr-HR"/>
        </w:rPr>
        <w:tab/>
      </w:r>
      <w:r>
        <w:rPr>
          <w:rStyle w:val="FontStyle81"/>
          <w:lang w:val="hr-HR" w:eastAsia="hr-HR"/>
        </w:rPr>
        <w:t>Zahvatanje samo endocervikalne sluznice</w:t>
      </w:r>
    </w:p>
    <w:p w:rsidR="00BF7CA8" w:rsidRDefault="00BF7CA8" w:rsidP="00BF7CA8">
      <w:pPr>
        <w:pStyle w:val="Style9"/>
        <w:widowControl/>
        <w:tabs>
          <w:tab w:val="left" w:pos="1349"/>
        </w:tabs>
        <w:spacing w:line="274" w:lineRule="exact"/>
        <w:jc w:val="left"/>
        <w:rPr>
          <w:rStyle w:val="FontStyle81"/>
          <w:lang w:val="hr-HR" w:eastAsia="hr-HR"/>
        </w:rPr>
      </w:pPr>
      <w:r>
        <w:rPr>
          <w:rStyle w:val="FontStyle81"/>
          <w:lang w:val="hr-HR" w:eastAsia="hr-HR"/>
        </w:rPr>
        <w:t>IIB</w:t>
      </w:r>
      <w:r>
        <w:rPr>
          <w:rStyle w:val="FontStyle81"/>
          <w:sz w:val="20"/>
          <w:szCs w:val="20"/>
          <w:lang w:val="hr-HR" w:eastAsia="hr-HR"/>
        </w:rPr>
        <w:tab/>
      </w:r>
      <w:r>
        <w:rPr>
          <w:rStyle w:val="FontStyle81"/>
          <w:lang w:val="hr-HR" w:eastAsia="hr-HR"/>
        </w:rPr>
        <w:t>Invazija cercikalne strome</w:t>
      </w:r>
    </w:p>
    <w:p w:rsidR="00BF7CA8" w:rsidRDefault="00BF7CA8" w:rsidP="00BF7CA8">
      <w:pPr>
        <w:pStyle w:val="Style42"/>
        <w:widowControl/>
        <w:tabs>
          <w:tab w:val="left" w:pos="1421"/>
        </w:tabs>
        <w:spacing w:before="34" w:line="278" w:lineRule="exact"/>
        <w:jc w:val="left"/>
        <w:rPr>
          <w:rStyle w:val="FontStyle81"/>
          <w:lang w:val="hr-HR" w:eastAsia="hr-HR"/>
        </w:rPr>
      </w:pPr>
      <w:r>
        <w:rPr>
          <w:rStyle w:val="FontStyle81"/>
          <w:lang w:val="hr-HR" w:eastAsia="hr-HR"/>
        </w:rPr>
        <w:t>III</w:t>
      </w:r>
      <w:r>
        <w:rPr>
          <w:rStyle w:val="FontStyle81"/>
          <w:sz w:val="20"/>
          <w:szCs w:val="20"/>
          <w:lang w:val="hr-HR" w:eastAsia="hr-HR"/>
        </w:rPr>
        <w:tab/>
      </w:r>
      <w:r>
        <w:rPr>
          <w:rStyle w:val="FontStyle81"/>
          <w:lang w:val="hr-HR" w:eastAsia="hr-HR"/>
        </w:rPr>
        <w:t>Tumor se širi izvan materice, ali ne izvan pelvisa</w:t>
      </w:r>
    </w:p>
    <w:p w:rsidR="00BF7CA8" w:rsidRDefault="00BF7CA8" w:rsidP="00BF7CA8">
      <w:pPr>
        <w:pStyle w:val="Style9"/>
        <w:widowControl/>
        <w:tabs>
          <w:tab w:val="left" w:pos="1349"/>
        </w:tabs>
        <w:spacing w:line="278" w:lineRule="exact"/>
        <w:jc w:val="left"/>
        <w:rPr>
          <w:rStyle w:val="FontStyle81"/>
          <w:lang w:val="hr-HR" w:eastAsia="hr-HR"/>
        </w:rPr>
      </w:pPr>
      <w:r>
        <w:rPr>
          <w:rStyle w:val="FontStyle81"/>
          <w:lang w:val="hr-HR" w:eastAsia="hr-HR"/>
        </w:rPr>
        <w:t>IIIA G1,2,3</w:t>
      </w:r>
      <w:r>
        <w:rPr>
          <w:rStyle w:val="FontStyle81"/>
          <w:sz w:val="20"/>
          <w:szCs w:val="20"/>
          <w:lang w:val="hr-HR" w:eastAsia="hr-HR"/>
        </w:rPr>
        <w:tab/>
      </w:r>
      <w:r>
        <w:rPr>
          <w:rStyle w:val="FontStyle81"/>
          <w:lang w:val="hr-HR" w:eastAsia="hr-HR"/>
        </w:rPr>
        <w:t>Tumor zahvata serozu i/ili adnekse i/ili peritoneum-citologija</w:t>
      </w:r>
    </w:p>
    <w:p w:rsidR="00BF7CA8" w:rsidRDefault="00BF7CA8" w:rsidP="00BF7CA8">
      <w:pPr>
        <w:pStyle w:val="Style9"/>
        <w:widowControl/>
        <w:tabs>
          <w:tab w:val="left" w:pos="1349"/>
        </w:tabs>
        <w:spacing w:line="278" w:lineRule="exact"/>
        <w:jc w:val="left"/>
        <w:rPr>
          <w:rStyle w:val="FontStyle81"/>
          <w:lang w:val="hr-HR" w:eastAsia="hr-HR"/>
        </w:rPr>
      </w:pPr>
      <w:r>
        <w:rPr>
          <w:rStyle w:val="FontStyle81"/>
          <w:lang w:val="hr-HR" w:eastAsia="hr-HR"/>
        </w:rPr>
        <w:t>IIIB G1,2,3</w:t>
      </w:r>
      <w:r>
        <w:rPr>
          <w:rStyle w:val="FontStyle81"/>
          <w:sz w:val="20"/>
          <w:szCs w:val="20"/>
          <w:lang w:val="hr-HR" w:eastAsia="hr-HR"/>
        </w:rPr>
        <w:tab/>
      </w:r>
      <w:r>
        <w:rPr>
          <w:rStyle w:val="FontStyle81"/>
          <w:lang w:val="hr-HR" w:eastAsia="hr-HR"/>
        </w:rPr>
        <w:t>Zahvatanje vagine (direktno širenje ili metastaze)</w:t>
      </w:r>
    </w:p>
    <w:p w:rsidR="00BF7CA8" w:rsidRDefault="00BF7CA8" w:rsidP="00BF7CA8">
      <w:pPr>
        <w:pStyle w:val="Style9"/>
        <w:widowControl/>
        <w:tabs>
          <w:tab w:val="left" w:pos="1349"/>
          <w:tab w:val="left" w:leader="underscore" w:pos="9043"/>
        </w:tabs>
        <w:spacing w:line="278" w:lineRule="exact"/>
        <w:rPr>
          <w:rStyle w:val="FontStyle81"/>
          <w:lang w:val="hr-HR" w:eastAsia="hr-HR"/>
        </w:rPr>
      </w:pPr>
      <w:r>
        <w:rPr>
          <w:rStyle w:val="FontStyle81"/>
          <w:u w:val="single"/>
          <w:lang w:val="hr-HR" w:eastAsia="hr-HR"/>
        </w:rPr>
        <w:t>IIIC G1,2,3</w:t>
      </w:r>
      <w:r>
        <w:rPr>
          <w:rStyle w:val="FontStyle81"/>
          <w:sz w:val="20"/>
          <w:szCs w:val="20"/>
          <w:lang w:val="hr-HR" w:eastAsia="hr-HR"/>
        </w:rPr>
        <w:tab/>
      </w:r>
      <w:r>
        <w:rPr>
          <w:rStyle w:val="FontStyle81"/>
          <w:u w:val="single"/>
          <w:lang w:val="hr-HR" w:eastAsia="hr-HR"/>
        </w:rPr>
        <w:t>Metastaze u pelvične i/ili paraaortalne limfne čvorove</w:t>
      </w:r>
      <w:r>
        <w:rPr>
          <w:rStyle w:val="FontStyle81"/>
          <w:lang w:val="hr-HR" w:eastAsia="hr-HR"/>
        </w:rPr>
        <w:tab/>
      </w:r>
    </w:p>
    <w:p w:rsidR="00BF7CA8" w:rsidRDefault="00BF7CA8" w:rsidP="00BF7CA8">
      <w:pPr>
        <w:pStyle w:val="Style42"/>
        <w:widowControl/>
        <w:tabs>
          <w:tab w:val="left" w:pos="1349"/>
          <w:tab w:val="left" w:pos="1421"/>
        </w:tabs>
        <w:rPr>
          <w:rStyle w:val="FontStyle81"/>
          <w:lang w:val="hr-HR" w:eastAsia="hr-HR"/>
        </w:rPr>
      </w:pPr>
      <w:r>
        <w:rPr>
          <w:rStyle w:val="FontStyle81"/>
          <w:lang w:val="hr-HR" w:eastAsia="hr-HR"/>
        </w:rPr>
        <w:t>IV</w:t>
      </w:r>
      <w:r>
        <w:rPr>
          <w:rStyle w:val="FontStyle81"/>
          <w:sz w:val="20"/>
          <w:szCs w:val="20"/>
          <w:lang w:val="hr-HR" w:eastAsia="hr-HR"/>
        </w:rPr>
        <w:tab/>
      </w:r>
      <w:r>
        <w:rPr>
          <w:rStyle w:val="FontStyle81"/>
          <w:lang w:val="hr-HR" w:eastAsia="hr-HR"/>
        </w:rPr>
        <w:t>Tumor se širi izvan pelvisa ili zahvata sluznicu mokraćnog mjehura ili rektuma</w:t>
      </w:r>
      <w:r>
        <w:rPr>
          <w:rStyle w:val="FontStyle81"/>
          <w:lang w:val="hr-HR" w:eastAsia="hr-HR"/>
        </w:rPr>
        <w:br/>
        <w:t>IVA</w:t>
      </w:r>
      <w:r>
        <w:rPr>
          <w:rStyle w:val="FontStyle81"/>
          <w:sz w:val="20"/>
          <w:szCs w:val="20"/>
          <w:lang w:val="hr-HR" w:eastAsia="hr-HR"/>
        </w:rPr>
        <w:tab/>
      </w:r>
      <w:r>
        <w:rPr>
          <w:rStyle w:val="FontStyle81"/>
          <w:lang w:val="hr-HR" w:eastAsia="hr-HR"/>
        </w:rPr>
        <w:t>Tumor zahvata mukozu mokraćnog mjehura ili mukozu crijeva</w:t>
      </w:r>
    </w:p>
    <w:p w:rsidR="00BF7CA8" w:rsidRDefault="00BF7CA8" w:rsidP="00BF7CA8">
      <w:pPr>
        <w:pStyle w:val="Style9"/>
        <w:widowControl/>
        <w:tabs>
          <w:tab w:val="left" w:pos="1349"/>
        </w:tabs>
        <w:spacing w:line="274" w:lineRule="exact"/>
        <w:jc w:val="left"/>
        <w:rPr>
          <w:rStyle w:val="FontStyle81"/>
          <w:lang w:val="hr-HR" w:eastAsia="hr-HR"/>
        </w:rPr>
      </w:pPr>
      <w:r>
        <w:rPr>
          <w:rStyle w:val="FontStyle81"/>
          <w:lang w:val="hr-HR" w:eastAsia="hr-HR"/>
        </w:rPr>
        <w:t>IVB</w:t>
      </w:r>
      <w:r>
        <w:rPr>
          <w:rStyle w:val="FontStyle81"/>
          <w:sz w:val="20"/>
          <w:szCs w:val="20"/>
          <w:lang w:val="hr-HR" w:eastAsia="hr-HR"/>
        </w:rPr>
        <w:tab/>
      </w:r>
      <w:r>
        <w:rPr>
          <w:rStyle w:val="FontStyle81"/>
          <w:lang w:val="hr-HR" w:eastAsia="hr-HR"/>
        </w:rPr>
        <w:t>Udaljene metastaze, uključujući intraabdominalne i/ili ingvinalne limfonode</w:t>
      </w:r>
    </w:p>
    <w:p w:rsidR="00BF7CA8" w:rsidRDefault="00BF7CA8" w:rsidP="00BF7CA8">
      <w:pPr>
        <w:pStyle w:val="Style9"/>
        <w:widowControl/>
        <w:spacing w:line="240" w:lineRule="exact"/>
        <w:rPr>
          <w:sz w:val="20"/>
          <w:szCs w:val="20"/>
        </w:rPr>
      </w:pPr>
    </w:p>
    <w:p w:rsidR="00BF7CA8" w:rsidRDefault="00BF7CA8" w:rsidP="00BF7CA8">
      <w:pPr>
        <w:pStyle w:val="Style9"/>
        <w:widowControl/>
        <w:spacing w:line="240" w:lineRule="exact"/>
        <w:rPr>
          <w:sz w:val="20"/>
          <w:szCs w:val="20"/>
        </w:rPr>
      </w:pPr>
    </w:p>
    <w:p w:rsidR="00BF7CA8" w:rsidRDefault="00BF7CA8" w:rsidP="00BF7CA8">
      <w:pPr>
        <w:pStyle w:val="Style9"/>
        <w:widowControl/>
        <w:spacing w:before="106" w:line="278" w:lineRule="exact"/>
        <w:rPr>
          <w:rStyle w:val="FontStyle81"/>
          <w:lang w:val="hr-HR" w:eastAsia="hr-HR"/>
        </w:rPr>
      </w:pPr>
      <w:r>
        <w:rPr>
          <w:rStyle w:val="FontStyle81"/>
          <w:lang w:val="hr-HR" w:eastAsia="hr-HR"/>
        </w:rPr>
        <w:t>Kod ranih stadija bolesti (I, II) primjenjuje se radikalna abdominalna histerektomija sa bilateralnom adneksektomijom i limfadenektomijom parametralnih limfonoda.</w:t>
      </w:r>
    </w:p>
    <w:p w:rsidR="00BF7CA8" w:rsidRDefault="00BF7CA8" w:rsidP="00BF7CA8">
      <w:pPr>
        <w:pStyle w:val="Style9"/>
        <w:widowControl/>
        <w:spacing w:line="240" w:lineRule="exact"/>
        <w:rPr>
          <w:sz w:val="20"/>
          <w:szCs w:val="20"/>
        </w:rPr>
      </w:pPr>
    </w:p>
    <w:p w:rsidR="00BF7CA8" w:rsidRDefault="00BF7CA8" w:rsidP="00BF7CA8">
      <w:pPr>
        <w:pStyle w:val="Style9"/>
        <w:widowControl/>
        <w:spacing w:before="29" w:line="278" w:lineRule="exact"/>
        <w:rPr>
          <w:rStyle w:val="FontStyle81"/>
          <w:lang w:val="hr-HR" w:eastAsia="hr-HR"/>
        </w:rPr>
      </w:pPr>
      <w:r>
        <w:rPr>
          <w:rStyle w:val="FontStyle81"/>
          <w:lang w:val="hr-HR" w:eastAsia="hr-HR"/>
        </w:rPr>
        <w:t>U toku operacije obavlja se pažljiva eksploracija peritonealn šupljine sa biopsijom omentuma, pelvičnih i paraaortalnih limfonoda, svih suspektnih lezija, kao i uzimanje ispirka za citološki pregled. Nakon uklanjanja materice određuje se dubina penetracije i miometrij i cerviks.</w:t>
      </w:r>
    </w:p>
    <w:p w:rsidR="00BF7CA8" w:rsidRDefault="00BF7CA8" w:rsidP="00BF7CA8">
      <w:pPr>
        <w:pStyle w:val="Style9"/>
        <w:widowControl/>
        <w:spacing w:line="240" w:lineRule="exact"/>
        <w:rPr>
          <w:sz w:val="20"/>
          <w:szCs w:val="20"/>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Postoperativna radioterapija se primjenjuje kod svih stadija bolesti osim kod bolesnica sa dobro diferenciranim tumorima i ukoliko penetracija tumora u miometrij ne prelazi 1/3 debljine zida (stadij IA G1). U slučajevima kontraindikacija za operativni zahvat, kao i kod starijih bolesnica u stadiju IA, primjenjuje se zračenje, a rezultati petogod9šnjeg preživljavanja bolesnica su visoki.</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43" w:line="269" w:lineRule="exact"/>
        <w:rPr>
          <w:rStyle w:val="FontStyle81"/>
          <w:lang w:val="hr-HR" w:eastAsia="hr-HR"/>
        </w:rPr>
      </w:pPr>
      <w:r>
        <w:rPr>
          <w:rStyle w:val="FontStyle81"/>
          <w:lang w:val="hr-HR" w:eastAsia="hr-HR"/>
        </w:rPr>
        <w:t>Perkutano zračenje se provodi sa fotonima visokih energija od 8-18 MeV-a, sa dozom od 45</w:t>
      </w:r>
      <w:r>
        <w:rPr>
          <w:rStyle w:val="FontStyle81"/>
          <w:lang w:val="hr-HR" w:eastAsia="hr-HR"/>
        </w:rPr>
        <w:softHyphen/>
        <w:t>50 Gy na pelvis, i brahiterapijom sa dozom od 30-35 Gy.</w:t>
      </w:r>
    </w:p>
    <w:p w:rsidR="00BF7CA8" w:rsidRDefault="00BF7CA8" w:rsidP="00BF7CA8">
      <w:pPr>
        <w:pStyle w:val="Style9"/>
        <w:widowControl/>
        <w:spacing w:line="240" w:lineRule="exact"/>
        <w:rPr>
          <w:sz w:val="20"/>
          <w:szCs w:val="20"/>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Kod tumora u stadiju IB G2, G3 postoperativna intravaginalna radioterapija prevenira nastajanje recideiva na zaraslici i poboljšava lokoregionalnu kontrolu bolesti. Prema izvještajima studije GOG, objavljene 1998.godine, adjuvantna radioterapija smanjuje rizik nastajanja recidiva u pelvisu, ali ne utiče na preživljavanje bolesnica.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Postoperativna iradijacija pelvisa je indicirana kod tumora sa izrazitom agresivnošću, kao što su rak svijetlih ćelija, serozni, papilarni i histološkim gradusom II i III.</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8" w:line="274" w:lineRule="exact"/>
        <w:rPr>
          <w:rStyle w:val="FontStyle81"/>
          <w:lang w:val="hr-HR" w:eastAsia="hr-HR"/>
        </w:rPr>
      </w:pPr>
      <w:r>
        <w:rPr>
          <w:rStyle w:val="FontStyle81"/>
          <w:lang w:val="hr-HR" w:eastAsia="hr-HR"/>
        </w:rPr>
        <w:t>S obzirom na širenje raka endometrija kroz šupljinu uterusa u području limfne drenaže i u abdominalnu šupljinu, znatno je povećan rizik relapsa bolesti, tako da kod većine bolesnica sa pozitivnim citološkim nalazom ispirka i metastaza u pelvičnim limfonodima u kasnijem toku nastaje karcinoza peritoneuma ili hematogena diseminacija na pluća, jetru, kosti i CNS.</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Radikalna abdominalna histerektomija sa bilateralnom adneksektomijom i limfadenektomojom je osnovni način liječenja uznapredovalih tumora endometrija. Uklanjanje pelvičnih i paraaortalnih limfonoda je indicirano kod invazije tumora u miometrij više od 50%, kod tumora na granici cerviksa i korpusa, kod metastaza u adneksima i ekstrauterinih metastaza, kod vrlo agresivnih tumora (serozni, rak svijetlih ćelija, nediferencirani, pločasti) i vizuelno uvećanih i palpabilnih limfonoda.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Postoperativna iradijacija pelvisa se provodi sa ciljem sprjećavanja nastanka recidiva koji se najčešće javljaju na vagini, kao i pelvičnim i paraaortalnim limfonodima.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29" w:line="278" w:lineRule="exact"/>
        <w:rPr>
          <w:rStyle w:val="FontStyle81"/>
          <w:lang w:val="hr-HR" w:eastAsia="hr-HR"/>
        </w:rPr>
      </w:pPr>
      <w:r>
        <w:rPr>
          <w:rStyle w:val="FontStyle81"/>
          <w:lang w:val="hr-HR" w:eastAsia="hr-HR"/>
        </w:rPr>
        <w:t>Duže preživljavanje bolesnica nakon primjene radioterapije registrovano je kod lokalnih recidiva u vagini, kao i palijativne iradijacije koštanih metastaza.</w:t>
      </w:r>
    </w:p>
    <w:p w:rsidR="00BF7CA8" w:rsidRPr="00B64E0B" w:rsidRDefault="00BF7CA8" w:rsidP="00BF7CA8">
      <w:pPr>
        <w:pStyle w:val="Style9"/>
        <w:widowControl/>
        <w:spacing w:line="240" w:lineRule="exact"/>
        <w:jc w:val="left"/>
        <w:rPr>
          <w:sz w:val="20"/>
          <w:szCs w:val="20"/>
          <w:lang w:val="hr-HR"/>
        </w:rPr>
      </w:pPr>
    </w:p>
    <w:p w:rsidR="00BF7CA8" w:rsidRDefault="00BF7CA8" w:rsidP="00BF7CA8">
      <w:pPr>
        <w:pStyle w:val="Style9"/>
        <w:widowControl/>
        <w:spacing w:before="53"/>
        <w:jc w:val="left"/>
        <w:rPr>
          <w:rStyle w:val="FontStyle81"/>
          <w:lang w:val="hr-HR" w:eastAsia="hr-HR"/>
        </w:rPr>
      </w:pPr>
      <w:r>
        <w:rPr>
          <w:rStyle w:val="FontStyle81"/>
          <w:lang w:val="hr-HR" w:eastAsia="hr-HR"/>
        </w:rPr>
        <w:t>Palijativno zračenje se primjenjuje kod metastaza na kostima i kod sprječavanja krvarenja.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8" w:line="274" w:lineRule="exact"/>
        <w:rPr>
          <w:rStyle w:val="FontStyle81"/>
          <w:lang w:val="hr-HR" w:eastAsia="hr-HR"/>
        </w:rPr>
      </w:pPr>
      <w:r>
        <w:rPr>
          <w:rStyle w:val="FontStyle81"/>
          <w:lang w:val="hr-HR" w:eastAsia="hr-HR"/>
        </w:rPr>
        <w:t>Abdominalna histerektomija sa bilateralnom adneksektomijom je metoda izbora u liječenju raka endometrija I i II stadija. Kod rizičnih grupa bolesnica, kao i kod bolesnica koje nisu hirurški tretirane indicirana je radioterapija. Kod bolesnica u III stadiju bolesti primjenjuje se radioterapija, a hormonalna terapija je rezervisana za bolesnice u IV stadiju bolesti sa dobro diferenciranim tumorima ili sa pozitivnim receptorima.</w:t>
      </w:r>
    </w:p>
    <w:p w:rsidR="00BF7CA8" w:rsidRPr="00B64E0B" w:rsidRDefault="00BF7CA8" w:rsidP="00BF7CA8">
      <w:pPr>
        <w:pStyle w:val="Style34"/>
        <w:widowControl/>
        <w:spacing w:line="240" w:lineRule="exact"/>
        <w:jc w:val="left"/>
        <w:rPr>
          <w:sz w:val="20"/>
          <w:szCs w:val="20"/>
          <w:lang w:val="hr-HR"/>
        </w:rPr>
      </w:pPr>
    </w:p>
    <w:p w:rsidR="00BF7CA8" w:rsidRPr="00B64E0B" w:rsidRDefault="00BF7CA8" w:rsidP="00BF7CA8">
      <w:pPr>
        <w:pStyle w:val="Style34"/>
        <w:widowControl/>
        <w:spacing w:line="240" w:lineRule="exact"/>
        <w:jc w:val="left"/>
        <w:rPr>
          <w:sz w:val="20"/>
          <w:szCs w:val="20"/>
          <w:lang w:val="hr-HR"/>
        </w:rPr>
      </w:pPr>
    </w:p>
    <w:p w:rsidR="00BF7CA8" w:rsidRPr="00B64E0B" w:rsidRDefault="00BF7CA8" w:rsidP="00BF7CA8">
      <w:pPr>
        <w:pStyle w:val="Style34"/>
        <w:widowControl/>
        <w:spacing w:line="240" w:lineRule="exact"/>
        <w:jc w:val="left"/>
        <w:rPr>
          <w:sz w:val="20"/>
          <w:szCs w:val="20"/>
          <w:lang w:val="hr-HR"/>
        </w:rPr>
      </w:pPr>
    </w:p>
    <w:p w:rsidR="00BF7CA8" w:rsidRPr="00B64E0B" w:rsidRDefault="00BF7CA8" w:rsidP="00BF7CA8">
      <w:pPr>
        <w:pStyle w:val="Style34"/>
        <w:widowControl/>
        <w:spacing w:line="240" w:lineRule="exact"/>
        <w:jc w:val="left"/>
        <w:rPr>
          <w:sz w:val="20"/>
          <w:szCs w:val="20"/>
          <w:lang w:val="hr-HR"/>
        </w:rPr>
      </w:pPr>
    </w:p>
    <w:p w:rsidR="00BF7CA8" w:rsidRDefault="00BF7CA8" w:rsidP="00BF7CA8">
      <w:pPr>
        <w:pStyle w:val="Style34"/>
        <w:widowControl/>
        <w:spacing w:before="158"/>
        <w:jc w:val="left"/>
        <w:rPr>
          <w:rStyle w:val="FontStyle76"/>
          <w:lang w:val="hr-HR" w:eastAsia="hr-HR"/>
        </w:rPr>
      </w:pPr>
      <w:r>
        <w:rPr>
          <w:rStyle w:val="FontStyle76"/>
          <w:lang w:val="hr-HR" w:eastAsia="hr-HR"/>
        </w:rPr>
        <w:t>RAK JAJNIKA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8" w:line="274" w:lineRule="exact"/>
        <w:rPr>
          <w:rStyle w:val="FontStyle81"/>
          <w:lang w:val="hr-HR" w:eastAsia="hr-HR"/>
        </w:rPr>
      </w:pPr>
      <w:r>
        <w:rPr>
          <w:rStyle w:val="FontStyle81"/>
          <w:lang w:val="hr-HR" w:eastAsia="hr-HR"/>
        </w:rPr>
        <w:lastRenderedPageBreak/>
        <w:t xml:space="preserve">Rak jajnika čini skoro </w:t>
      </w:r>
      <w:r>
        <w:rPr>
          <w:rStyle w:val="FontStyle81"/>
          <w:spacing w:val="-20"/>
          <w:lang w:val="hr-HR" w:eastAsia="hr-HR"/>
        </w:rPr>
        <w:t>Vi</w:t>
      </w:r>
      <w:r>
        <w:rPr>
          <w:rStyle w:val="FontStyle81"/>
          <w:lang w:val="hr-HR" w:eastAsia="hr-HR"/>
        </w:rPr>
        <w:t xml:space="preserve"> svih malignih tumora ženskih spolnih organa i vodeći je uzrok smrti među ginekološkim tumorima. Incidencija i mortalitet ove bolesti je u konstantnom porastu u razvijenim zapadnim zemljama. Rak jajnika se javlja kod 80% žena u menopauzi, a prosječna starosna dob oboljelih je 59 godina.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Uzroci nastanka araka jajnika su nedovoljno poznati i vjerovatno su posljedica naizmjeničnih oštećenja i reparatornih procesa na germinativnom epitelu koji nastaju kod ovulacija. Od aka jajnika češće obolijevaju osobe ranije liječene od raka dojke i endometrija, sa naslijeđenim genetskim defektima BRCA 1 gena, nulipare, kao i žena čija je ishrana bogata mastima i ugljikohidratima. Svaki duži prekid ovulacije, bilo da se radi o trudnoći ili uzimanju kontraceptiva, smanjuje rizik nastanka raka jajnika.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8" w:line="274" w:lineRule="exact"/>
        <w:rPr>
          <w:rStyle w:val="FontStyle81"/>
          <w:lang w:val="hr-HR" w:eastAsia="hr-HR"/>
        </w:rPr>
      </w:pPr>
      <w:r>
        <w:rPr>
          <w:rStyle w:val="FontStyle81"/>
          <w:lang w:val="hr-HR" w:eastAsia="hr-HR"/>
        </w:rPr>
        <w:t>Prema klasifikaciji Svjetske zdravstvene organizacije, tumori jajnika su podijeljeni u 11 grupa, od kojih su najznačajniji epitelijalni tumori - karcinomi, tumori spolnih ćelija i specijalni tumori strome jajnika. Od epitelijalnih karcinoma najčešći su serozni (45%, nediferencirani (17%, endometroidni (15%), mucinozni (12%) i karcinomi svijetlih ćelija (6%) koji su često udruženi sa endometriozom i rakom endometrija. Granični tumori su građeni iz dobro diferenciranih ćelija sa papilarnom proliferacijom, koji ne invaddiraju stromu i niskog su malignog potencijala. Metastatski tumori čine 5% svih tumora jajnika. Prema stepenu zrelosti, tumori jajnika se dijele na dobro diferencirane, koji su najavećim dijelom građeni od žljezdanog tkiva (gradus I), umjereno diferencirane, sa kombinacijom žljezdanog i solidnog tkiva (gradus II) i slabo diferencirane, sa prevalencijom solidnog tkiva (gradus III).</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Rani simptomi raka jajnika su potpuno nespecifični, tako da većina bolesnica dolazi na pregled u uznapredovalim stadijima bolesti. Prvi znaci koji upućuju na postojanje tumora su povećanje obima trbuha, nadutost i bolovi u donjem abdomenu, smetnje sa mokrenjem i stolicom (tumori mogu narasti do veličine 10-12 cm prije nego što se klinički manifestuju), a bolesnice obično dolaze na liječenje sa palpabilnim tumorom u abdomenu, ascitom i/ili pleuralnim izljevom. Vrlo rijetko se kod postomenopauzalnih bolesnica javljaju se vaginalna krvarenja. Rak jajnika se širi per continuitatem u peritonealnu šupljinu, zahvata omentum, suprotni jajnik, crijeva, serozu jetre i desnu dijafragmu. Limfogeno širenje se odvija putem abdominalnih i dijafragmalnih limfnih sudova, a usljed pokreta dijafragme i crijevne peristaltike dolazi do utiskivanja malignih ćelija u limfotok i širenja na pleuru. Hematogene metastaze u jeru, pluća, kosti i CNS su rijetke.</w:t>
      </w:r>
    </w:p>
    <w:p w:rsidR="00BF7CA8" w:rsidRDefault="00BF7CA8" w:rsidP="00BF7CA8">
      <w:pPr>
        <w:pStyle w:val="Style9"/>
        <w:widowControl/>
        <w:spacing w:line="240" w:lineRule="exact"/>
        <w:rPr>
          <w:sz w:val="20"/>
          <w:szCs w:val="20"/>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S obzirom na nepostojanje specifičnih simptoma i znakova bolesti, dijagnostika raka jajnika u ranim stadijima je vrlo otežana. Manji tumori se mogu slučajno otkriti kod pregleda pelvičnih organa ultrazvukom, kompjuterizovanom tomografijom ili magnetskom rezonancom. Svaki palpabilni jajnik kod rutinskog ginekološkog pregleda pobuđuje sumnju na tumor i uslovljava detaljnu obradu. U cilju isključenja drugih ginekoloških tumora, uporedo sa bimanuelnim rektovaginalnim pregledom vrši se citološki pregled vaginalnog i cervikalnog brisa, endocervikalna kiretaža i biopsija endometriju.a Ultrazvučni pregled abdomena sa običnom i vaginalnom sondom, kompjuterizovana tomografija i magnetna rezonanca su sigurne metode u procjeni solidnih nepatognomoničnih lezija ili ascita, ali se definitivna dijagnoza postavlja nakon laparatomije.</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29" w:line="278" w:lineRule="exact"/>
        <w:rPr>
          <w:rStyle w:val="FontStyle81"/>
          <w:lang w:val="hr-HR" w:eastAsia="hr-HR"/>
        </w:rPr>
      </w:pPr>
      <w:r>
        <w:rPr>
          <w:rStyle w:val="FontStyle81"/>
          <w:lang w:val="hr-HR" w:eastAsia="hr-HR"/>
        </w:rPr>
        <w:t>Ca 125 se smatra najboljim tumorskim markerom u dijagnostici i postoperativnom praćenju toka bolesti.</w:t>
      </w:r>
    </w:p>
    <w:p w:rsidR="00BF7CA8" w:rsidRDefault="00BF7CA8" w:rsidP="00BF7CA8">
      <w:pPr>
        <w:pStyle w:val="Style9"/>
        <w:widowControl/>
        <w:spacing w:before="19"/>
        <w:jc w:val="left"/>
        <w:rPr>
          <w:rStyle w:val="FontStyle81"/>
          <w:lang w:val="hr-HR" w:eastAsia="hr-HR"/>
        </w:rPr>
      </w:pPr>
      <w:r>
        <w:rPr>
          <w:rStyle w:val="FontStyle81"/>
          <w:lang w:val="hr-HR" w:eastAsia="hr-HR"/>
        </w:rPr>
        <w:t>Stadij bolesti se određuje prema FIGO klasifikaciji.</w:t>
      </w:r>
    </w:p>
    <w:p w:rsidR="00BF7CA8" w:rsidRDefault="00BF7CA8" w:rsidP="00BF7CA8">
      <w:pPr>
        <w:pStyle w:val="Style9"/>
        <w:widowControl/>
        <w:spacing w:line="240" w:lineRule="exact"/>
        <w:rPr>
          <w:sz w:val="20"/>
          <w:szCs w:val="20"/>
        </w:rPr>
      </w:pPr>
    </w:p>
    <w:p w:rsidR="00BF7CA8" w:rsidRDefault="00BF7CA8" w:rsidP="00BF7CA8">
      <w:pPr>
        <w:pStyle w:val="Style9"/>
        <w:widowControl/>
        <w:spacing w:before="53"/>
        <w:rPr>
          <w:rStyle w:val="FontStyle81"/>
          <w:lang w:val="hr-HR" w:eastAsia="hr-HR"/>
        </w:rPr>
      </w:pPr>
      <w:r>
        <w:rPr>
          <w:rStyle w:val="FontStyle81"/>
          <w:lang w:val="hr-HR" w:eastAsia="hr-HR"/>
        </w:rPr>
        <w:t>Stadij</w:t>
      </w:r>
    </w:p>
    <w:p w:rsidR="00BF7CA8" w:rsidRDefault="00BF7CA8" w:rsidP="00BF7CA8">
      <w:pPr>
        <w:spacing w:after="24" w:line="1" w:lineRule="exact"/>
        <w:rPr>
          <w:sz w:val="2"/>
          <w:szCs w:val="2"/>
        </w:rPr>
      </w:pPr>
    </w:p>
    <w:tbl>
      <w:tblPr>
        <w:tblW w:w="0" w:type="auto"/>
        <w:tblInd w:w="40" w:type="dxa"/>
        <w:tblLayout w:type="fixed"/>
        <w:tblCellMar>
          <w:left w:w="40" w:type="dxa"/>
          <w:right w:w="40" w:type="dxa"/>
        </w:tblCellMar>
        <w:tblLook w:val="0000"/>
      </w:tblPr>
      <w:tblGrid>
        <w:gridCol w:w="926"/>
        <w:gridCol w:w="8203"/>
      </w:tblGrid>
      <w:tr w:rsidR="00BF7CA8" w:rsidTr="00623C6C">
        <w:tc>
          <w:tcPr>
            <w:tcW w:w="926"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w:t>
            </w:r>
          </w:p>
        </w:tc>
        <w:tc>
          <w:tcPr>
            <w:tcW w:w="8203" w:type="dxa"/>
            <w:tcBorders>
              <w:top w:val="single" w:sz="6" w:space="0" w:color="auto"/>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ograničen na jedan ili oba jajnika</w:t>
            </w:r>
          </w:p>
        </w:tc>
      </w:tr>
      <w:tr w:rsidR="00BF7CA8"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lastRenderedPageBreak/>
              <w:t>IA</w:t>
            </w:r>
          </w:p>
        </w:tc>
        <w:tc>
          <w:tcPr>
            <w:tcW w:w="8203" w:type="dxa"/>
            <w:tcBorders>
              <w:top w:val="nil"/>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ogrančen na jedan jajnik bez ascitesa, slobodna vanjska površina,</w:t>
            </w:r>
          </w:p>
        </w:tc>
      </w:tr>
      <w:tr w:rsidR="00BF7CA8" w:rsidTr="00623C6C">
        <w:tc>
          <w:tcPr>
            <w:tcW w:w="926" w:type="dxa"/>
            <w:tcBorders>
              <w:top w:val="nil"/>
              <w:left w:val="nil"/>
              <w:bottom w:val="nil"/>
              <w:right w:val="nil"/>
            </w:tcBorders>
          </w:tcPr>
          <w:p w:rsidR="00BF7CA8" w:rsidRDefault="00BF7CA8" w:rsidP="00623C6C">
            <w:pPr>
              <w:pStyle w:val="Style1"/>
              <w:widowControl/>
            </w:pPr>
          </w:p>
        </w:tc>
        <w:tc>
          <w:tcPr>
            <w:tcW w:w="8203" w:type="dxa"/>
            <w:tcBorders>
              <w:top w:val="nil"/>
              <w:left w:val="nil"/>
              <w:bottom w:val="nil"/>
              <w:right w:val="nil"/>
            </w:tcBorders>
          </w:tcPr>
          <w:p w:rsidR="00BF7CA8" w:rsidRDefault="00BF7CA8" w:rsidP="00623C6C">
            <w:pPr>
              <w:pStyle w:val="Style55"/>
              <w:widowControl/>
              <w:spacing w:line="240" w:lineRule="auto"/>
              <w:ind w:left="413"/>
              <w:rPr>
                <w:rStyle w:val="FontStyle81"/>
                <w:lang w:val="hr-HR" w:eastAsia="hr-HR"/>
              </w:rPr>
            </w:pPr>
            <w:r>
              <w:rPr>
                <w:rStyle w:val="FontStyle81"/>
                <w:lang w:val="hr-HR" w:eastAsia="hr-HR"/>
              </w:rPr>
              <w:t>kapsula intaktna</w:t>
            </w:r>
          </w:p>
        </w:tc>
      </w:tr>
      <w:tr w:rsidR="00BF7CA8"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IB</w:t>
            </w:r>
          </w:p>
        </w:tc>
        <w:tc>
          <w:tcPr>
            <w:tcW w:w="8203" w:type="dxa"/>
            <w:tcBorders>
              <w:top w:val="nil"/>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ogrančen na oba jajnika bez prisustva ascitesa, slobodna vanjska</w:t>
            </w:r>
          </w:p>
        </w:tc>
      </w:tr>
      <w:tr w:rsidR="00BF7CA8" w:rsidTr="00623C6C">
        <w:tc>
          <w:tcPr>
            <w:tcW w:w="926" w:type="dxa"/>
            <w:tcBorders>
              <w:top w:val="nil"/>
              <w:left w:val="nil"/>
              <w:bottom w:val="nil"/>
              <w:right w:val="nil"/>
            </w:tcBorders>
          </w:tcPr>
          <w:p w:rsidR="00BF7CA8" w:rsidRDefault="00BF7CA8" w:rsidP="00623C6C">
            <w:pPr>
              <w:pStyle w:val="Style1"/>
              <w:widowControl/>
            </w:pPr>
          </w:p>
        </w:tc>
        <w:tc>
          <w:tcPr>
            <w:tcW w:w="8203" w:type="dxa"/>
            <w:tcBorders>
              <w:top w:val="nil"/>
              <w:left w:val="nil"/>
              <w:bottom w:val="nil"/>
              <w:right w:val="nil"/>
            </w:tcBorders>
          </w:tcPr>
          <w:p w:rsidR="00BF7CA8" w:rsidRDefault="00BF7CA8" w:rsidP="00623C6C">
            <w:pPr>
              <w:pStyle w:val="Style55"/>
              <w:widowControl/>
              <w:spacing w:line="240" w:lineRule="auto"/>
              <w:ind w:left="413"/>
              <w:rPr>
                <w:rStyle w:val="FontStyle81"/>
                <w:lang w:val="hr-HR" w:eastAsia="hr-HR"/>
              </w:rPr>
            </w:pPr>
            <w:r>
              <w:rPr>
                <w:rStyle w:val="FontStyle81"/>
                <w:lang w:val="hr-HR" w:eastAsia="hr-HR"/>
              </w:rPr>
              <w:t>površina, kapsula intaktna</w:t>
            </w:r>
          </w:p>
        </w:tc>
      </w:tr>
      <w:tr w:rsidR="00BF7CA8"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IC</w:t>
            </w:r>
          </w:p>
        </w:tc>
        <w:tc>
          <w:tcPr>
            <w:tcW w:w="8203" w:type="dxa"/>
            <w:tcBorders>
              <w:top w:val="nil"/>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na jednom ili oba jajnika, prisutan ascites ili rupturirana kapsula ili</w:t>
            </w:r>
          </w:p>
        </w:tc>
      </w:tr>
      <w:tr w:rsidR="00BF7CA8" w:rsidTr="00623C6C">
        <w:tc>
          <w:tcPr>
            <w:tcW w:w="926" w:type="dxa"/>
            <w:tcBorders>
              <w:top w:val="nil"/>
              <w:left w:val="nil"/>
              <w:bottom w:val="single" w:sz="6" w:space="0" w:color="auto"/>
              <w:right w:val="nil"/>
            </w:tcBorders>
          </w:tcPr>
          <w:p w:rsidR="00BF7CA8" w:rsidRDefault="00BF7CA8" w:rsidP="00623C6C">
            <w:pPr>
              <w:pStyle w:val="Style1"/>
              <w:widowControl/>
            </w:pPr>
          </w:p>
        </w:tc>
        <w:tc>
          <w:tcPr>
            <w:tcW w:w="8203" w:type="dxa"/>
            <w:tcBorders>
              <w:top w:val="nil"/>
              <w:left w:val="nil"/>
              <w:bottom w:val="single" w:sz="6" w:space="0" w:color="auto"/>
              <w:right w:val="nil"/>
            </w:tcBorders>
          </w:tcPr>
          <w:p w:rsidR="00BF7CA8" w:rsidRDefault="00BF7CA8" w:rsidP="00623C6C">
            <w:pPr>
              <w:pStyle w:val="Style55"/>
              <w:widowControl/>
              <w:spacing w:line="240" w:lineRule="auto"/>
              <w:ind w:left="442"/>
              <w:rPr>
                <w:rStyle w:val="FontStyle81"/>
                <w:lang w:val="hr-HR" w:eastAsia="hr-HR"/>
              </w:rPr>
            </w:pPr>
            <w:r>
              <w:rPr>
                <w:rStyle w:val="FontStyle81"/>
                <w:lang w:val="hr-HR" w:eastAsia="hr-HR"/>
              </w:rPr>
              <w:t>citološki pozitivne maligne ćelije u ascitesu ili ispirku iz peritonealne šupljine</w:t>
            </w:r>
          </w:p>
        </w:tc>
      </w:tr>
      <w:tr w:rsidR="00BF7CA8" w:rsidTr="00623C6C">
        <w:tc>
          <w:tcPr>
            <w:tcW w:w="926"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w:t>
            </w:r>
          </w:p>
        </w:tc>
        <w:tc>
          <w:tcPr>
            <w:tcW w:w="8203" w:type="dxa"/>
            <w:tcBorders>
              <w:top w:val="single" w:sz="6" w:space="0" w:color="auto"/>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zahvata jedan ili oba jajnika i širi se na pelvične organe</w:t>
            </w:r>
          </w:p>
        </w:tc>
      </w:tr>
      <w:tr w:rsidR="00BF7CA8"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IIA</w:t>
            </w:r>
          </w:p>
        </w:tc>
        <w:tc>
          <w:tcPr>
            <w:tcW w:w="8203" w:type="dxa"/>
            <w:tcBorders>
              <w:top w:val="nil"/>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se proširio ili metastazirao na matericu ili jajovod</w:t>
            </w:r>
          </w:p>
        </w:tc>
      </w:tr>
      <w:tr w:rsidR="00BF7CA8"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IIB</w:t>
            </w:r>
          </w:p>
        </w:tc>
        <w:tc>
          <w:tcPr>
            <w:tcW w:w="8203" w:type="dxa"/>
            <w:tcBorders>
              <w:top w:val="nil"/>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se proširio na druge pelvične organe</w:t>
            </w:r>
          </w:p>
        </w:tc>
      </w:tr>
      <w:tr w:rsidR="00BF7CA8" w:rsidRPr="0030335A"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IIC</w:t>
            </w:r>
          </w:p>
        </w:tc>
        <w:tc>
          <w:tcPr>
            <w:tcW w:w="8203" w:type="dxa"/>
            <w:tcBorders>
              <w:top w:val="nil"/>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Tuomr u stadiju IIA ili IIB sa ascitesom ili citološki pozitivnim malignim</w:t>
            </w:r>
          </w:p>
        </w:tc>
      </w:tr>
      <w:tr w:rsidR="00BF7CA8" w:rsidTr="00623C6C">
        <w:tc>
          <w:tcPr>
            <w:tcW w:w="926" w:type="dxa"/>
            <w:tcBorders>
              <w:top w:val="nil"/>
              <w:left w:val="nil"/>
              <w:bottom w:val="single" w:sz="6" w:space="0" w:color="auto"/>
              <w:right w:val="nil"/>
            </w:tcBorders>
          </w:tcPr>
          <w:p w:rsidR="00BF7CA8" w:rsidRPr="00B64E0B" w:rsidRDefault="00BF7CA8" w:rsidP="00623C6C">
            <w:pPr>
              <w:pStyle w:val="Style1"/>
              <w:widowControl/>
              <w:rPr>
                <w:lang w:val="hr-HR"/>
              </w:rPr>
            </w:pPr>
          </w:p>
        </w:tc>
        <w:tc>
          <w:tcPr>
            <w:tcW w:w="8203" w:type="dxa"/>
            <w:tcBorders>
              <w:top w:val="nil"/>
              <w:left w:val="nil"/>
              <w:bottom w:val="single" w:sz="6" w:space="0" w:color="auto"/>
              <w:right w:val="nil"/>
            </w:tcBorders>
          </w:tcPr>
          <w:p w:rsidR="00BF7CA8" w:rsidRDefault="00BF7CA8" w:rsidP="00623C6C">
            <w:pPr>
              <w:pStyle w:val="Style55"/>
              <w:widowControl/>
              <w:spacing w:line="240" w:lineRule="auto"/>
              <w:ind w:left="379"/>
              <w:rPr>
                <w:rStyle w:val="FontStyle81"/>
                <w:lang w:val="hr-HR" w:eastAsia="hr-HR"/>
              </w:rPr>
            </w:pPr>
            <w:r>
              <w:rPr>
                <w:rStyle w:val="FontStyle81"/>
                <w:lang w:val="hr-HR" w:eastAsia="hr-HR"/>
              </w:rPr>
              <w:t>ćelijama u ascitesu ili ispirku peritonealne šupljine</w:t>
            </w:r>
          </w:p>
        </w:tc>
      </w:tr>
      <w:tr w:rsidR="00BF7CA8" w:rsidTr="00623C6C">
        <w:tc>
          <w:tcPr>
            <w:tcW w:w="926"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III</w:t>
            </w:r>
          </w:p>
        </w:tc>
        <w:tc>
          <w:tcPr>
            <w:tcW w:w="8203" w:type="dxa"/>
            <w:tcBorders>
              <w:top w:val="single" w:sz="6" w:space="0" w:color="auto"/>
              <w:left w:val="nil"/>
              <w:bottom w:val="nil"/>
              <w:right w:val="nil"/>
            </w:tcBorders>
          </w:tcPr>
          <w:p w:rsidR="00BF7CA8" w:rsidRDefault="00BF7CA8" w:rsidP="00623C6C">
            <w:pPr>
              <w:pStyle w:val="Style55"/>
              <w:widowControl/>
              <w:spacing w:line="240" w:lineRule="auto"/>
              <w:ind w:left="418"/>
              <w:rPr>
                <w:rStyle w:val="FontStyle81"/>
                <w:lang w:val="hr-HR" w:eastAsia="hr-HR"/>
              </w:rPr>
            </w:pPr>
            <w:r>
              <w:rPr>
                <w:rStyle w:val="FontStyle81"/>
                <w:lang w:val="hr-HR" w:eastAsia="hr-HR"/>
              </w:rPr>
              <w:t>Tumor zahvata jedan ili oba jajnika i širi se iznad male zdjelice na peritoneum</w:t>
            </w:r>
          </w:p>
        </w:tc>
      </w:tr>
      <w:tr w:rsidR="00BF7CA8" w:rsidTr="00623C6C">
        <w:tc>
          <w:tcPr>
            <w:tcW w:w="926" w:type="dxa"/>
            <w:tcBorders>
              <w:top w:val="nil"/>
              <w:left w:val="nil"/>
              <w:bottom w:val="nil"/>
              <w:right w:val="nil"/>
            </w:tcBorders>
          </w:tcPr>
          <w:p w:rsidR="00BF7CA8" w:rsidRDefault="00BF7CA8" w:rsidP="00623C6C">
            <w:pPr>
              <w:pStyle w:val="Style1"/>
              <w:widowControl/>
            </w:pPr>
          </w:p>
        </w:tc>
        <w:tc>
          <w:tcPr>
            <w:tcW w:w="8203" w:type="dxa"/>
            <w:tcBorders>
              <w:top w:val="nil"/>
              <w:left w:val="nil"/>
              <w:bottom w:val="nil"/>
              <w:right w:val="nil"/>
            </w:tcBorders>
          </w:tcPr>
          <w:p w:rsidR="00BF7CA8" w:rsidRDefault="00BF7CA8" w:rsidP="00623C6C">
            <w:pPr>
              <w:pStyle w:val="Style55"/>
              <w:widowControl/>
              <w:spacing w:line="240" w:lineRule="auto"/>
              <w:ind w:left="437"/>
              <w:rPr>
                <w:rStyle w:val="FontStyle81"/>
                <w:lang w:val="hr-HR" w:eastAsia="hr-HR"/>
              </w:rPr>
            </w:pPr>
            <w:r>
              <w:rPr>
                <w:rStyle w:val="FontStyle81"/>
                <w:lang w:val="hr-HR" w:eastAsia="hr-HR"/>
              </w:rPr>
              <w:t>i/ili retroperitonealne i ingvinalne limfne žlijezde, metastazira na površinu jetre</w:t>
            </w:r>
          </w:p>
        </w:tc>
      </w:tr>
      <w:tr w:rsidR="00BF7CA8" w:rsidTr="00623C6C">
        <w:tc>
          <w:tcPr>
            <w:tcW w:w="926" w:type="dxa"/>
            <w:tcBorders>
              <w:top w:val="nil"/>
              <w:left w:val="nil"/>
              <w:bottom w:val="nil"/>
              <w:right w:val="nil"/>
            </w:tcBorders>
          </w:tcPr>
          <w:p w:rsidR="00BF7CA8" w:rsidRDefault="00BF7CA8" w:rsidP="00623C6C">
            <w:pPr>
              <w:pStyle w:val="Style1"/>
              <w:widowControl/>
            </w:pPr>
          </w:p>
        </w:tc>
        <w:tc>
          <w:tcPr>
            <w:tcW w:w="8203" w:type="dxa"/>
            <w:tcBorders>
              <w:top w:val="nil"/>
              <w:left w:val="nil"/>
              <w:bottom w:val="nil"/>
              <w:right w:val="nil"/>
            </w:tcBorders>
          </w:tcPr>
          <w:p w:rsidR="00BF7CA8" w:rsidRDefault="00BF7CA8" w:rsidP="00623C6C">
            <w:pPr>
              <w:pStyle w:val="Style55"/>
              <w:widowControl/>
              <w:spacing w:line="240" w:lineRule="auto"/>
              <w:ind w:left="437"/>
              <w:rPr>
                <w:rStyle w:val="FontStyle81"/>
                <w:lang w:val="hr-HR" w:eastAsia="hr-HR"/>
              </w:rPr>
            </w:pPr>
            <w:r>
              <w:rPr>
                <w:rStyle w:val="FontStyle81"/>
                <w:lang w:val="hr-HR" w:eastAsia="hr-HR"/>
              </w:rPr>
              <w:t>ili se širi na tanko crijevo ili omentum</w:t>
            </w:r>
          </w:p>
        </w:tc>
      </w:tr>
      <w:tr w:rsidR="00BF7CA8"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IIIA</w:t>
            </w:r>
          </w:p>
        </w:tc>
        <w:tc>
          <w:tcPr>
            <w:tcW w:w="8203" w:type="dxa"/>
            <w:tcBorders>
              <w:top w:val="nil"/>
              <w:left w:val="nil"/>
              <w:bottom w:val="nil"/>
              <w:right w:val="nil"/>
            </w:tcBorders>
          </w:tcPr>
          <w:p w:rsidR="00BF7CA8" w:rsidRDefault="00BF7CA8" w:rsidP="00623C6C">
            <w:pPr>
              <w:pStyle w:val="Style55"/>
              <w:widowControl/>
              <w:spacing w:line="240" w:lineRule="auto"/>
              <w:ind w:left="408"/>
              <w:rPr>
                <w:rStyle w:val="FontStyle81"/>
                <w:lang w:val="hr-HR" w:eastAsia="hr-HR"/>
              </w:rPr>
            </w:pPr>
            <w:r>
              <w:rPr>
                <w:rStyle w:val="FontStyle81"/>
                <w:lang w:val="hr-HR" w:eastAsia="hr-HR"/>
              </w:rPr>
              <w:t>Mikroskopsko širenje po peritoneumu</w:t>
            </w:r>
          </w:p>
        </w:tc>
      </w:tr>
      <w:tr w:rsidR="00BF7CA8" w:rsidTr="00623C6C">
        <w:tc>
          <w:tcPr>
            <w:tcW w:w="926" w:type="dxa"/>
            <w:tcBorders>
              <w:top w:val="nil"/>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IIIB</w:t>
            </w:r>
          </w:p>
        </w:tc>
        <w:tc>
          <w:tcPr>
            <w:tcW w:w="8203" w:type="dxa"/>
            <w:tcBorders>
              <w:top w:val="nil"/>
              <w:left w:val="nil"/>
              <w:bottom w:val="nil"/>
              <w:right w:val="nil"/>
            </w:tcBorders>
          </w:tcPr>
          <w:p w:rsidR="00BF7CA8" w:rsidRDefault="00BF7CA8" w:rsidP="00623C6C">
            <w:pPr>
              <w:pStyle w:val="Style55"/>
              <w:widowControl/>
              <w:spacing w:line="240" w:lineRule="auto"/>
              <w:ind w:left="408"/>
              <w:rPr>
                <w:rStyle w:val="FontStyle81"/>
                <w:lang w:val="hr-HR" w:eastAsia="hr-HR"/>
              </w:rPr>
            </w:pPr>
            <w:r>
              <w:rPr>
                <w:rStyle w:val="FontStyle81"/>
                <w:lang w:val="hr-HR" w:eastAsia="hr-HR"/>
              </w:rPr>
              <w:t>Makroskopski vidljivo širenje po peritoneumu, tumori manji od 2 cm</w:t>
            </w:r>
          </w:p>
        </w:tc>
      </w:tr>
      <w:tr w:rsidR="00BF7CA8" w:rsidTr="00623C6C">
        <w:tc>
          <w:tcPr>
            <w:tcW w:w="926" w:type="dxa"/>
            <w:tcBorders>
              <w:top w:val="nil"/>
              <w:left w:val="nil"/>
              <w:bottom w:val="single" w:sz="6" w:space="0" w:color="auto"/>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IIIC</w:t>
            </w:r>
          </w:p>
        </w:tc>
        <w:tc>
          <w:tcPr>
            <w:tcW w:w="8203" w:type="dxa"/>
            <w:tcBorders>
              <w:top w:val="nil"/>
              <w:left w:val="nil"/>
              <w:bottom w:val="single" w:sz="6" w:space="0" w:color="auto"/>
              <w:right w:val="nil"/>
            </w:tcBorders>
          </w:tcPr>
          <w:p w:rsidR="00BF7CA8" w:rsidRDefault="00BF7CA8" w:rsidP="00623C6C">
            <w:pPr>
              <w:pStyle w:val="Style55"/>
              <w:widowControl/>
              <w:spacing w:line="240" w:lineRule="auto"/>
              <w:ind w:left="408"/>
              <w:rPr>
                <w:rStyle w:val="FontStyle81"/>
                <w:lang w:val="hr-HR" w:eastAsia="hr-HR"/>
              </w:rPr>
            </w:pPr>
            <w:r>
              <w:rPr>
                <w:rStyle w:val="FontStyle81"/>
                <w:lang w:val="hr-HR" w:eastAsia="hr-HR"/>
              </w:rPr>
              <w:t>Makroskopski vidljivo širenje po peritoneumu, tumori veći od 2 cm</w:t>
            </w:r>
          </w:p>
        </w:tc>
      </w:tr>
      <w:tr w:rsidR="00BF7CA8" w:rsidTr="00623C6C">
        <w:tc>
          <w:tcPr>
            <w:tcW w:w="926" w:type="dxa"/>
            <w:tcBorders>
              <w:top w:val="single" w:sz="6" w:space="0" w:color="auto"/>
              <w:left w:val="nil"/>
              <w:bottom w:val="nil"/>
              <w:right w:val="nil"/>
            </w:tcBorders>
          </w:tcPr>
          <w:p w:rsidR="00BF7CA8" w:rsidRDefault="00BF7CA8" w:rsidP="00623C6C">
            <w:pPr>
              <w:pStyle w:val="Style55"/>
              <w:widowControl/>
              <w:spacing w:line="240" w:lineRule="auto"/>
              <w:rPr>
                <w:rStyle w:val="FontStyle81"/>
                <w:lang w:val="hr-HR" w:eastAsia="hr-HR"/>
              </w:rPr>
            </w:pPr>
            <w:r>
              <w:rPr>
                <w:rStyle w:val="FontStyle81"/>
                <w:lang w:val="hr-HR" w:eastAsia="hr-HR"/>
              </w:rPr>
              <w:t>IV</w:t>
            </w:r>
          </w:p>
        </w:tc>
        <w:tc>
          <w:tcPr>
            <w:tcW w:w="8203" w:type="dxa"/>
            <w:tcBorders>
              <w:top w:val="single" w:sz="6" w:space="0" w:color="auto"/>
              <w:left w:val="nil"/>
              <w:bottom w:val="nil"/>
              <w:right w:val="nil"/>
            </w:tcBorders>
          </w:tcPr>
          <w:p w:rsidR="00BF7CA8" w:rsidRDefault="00BF7CA8" w:rsidP="00623C6C">
            <w:pPr>
              <w:pStyle w:val="Style55"/>
              <w:widowControl/>
              <w:spacing w:line="240" w:lineRule="auto"/>
              <w:ind w:left="408"/>
              <w:rPr>
                <w:rStyle w:val="FontStyle81"/>
                <w:lang w:val="hr-HR" w:eastAsia="hr-HR"/>
              </w:rPr>
            </w:pPr>
            <w:r>
              <w:rPr>
                <w:rStyle w:val="FontStyle81"/>
                <w:lang w:val="hr-HR" w:eastAsia="hr-HR"/>
              </w:rPr>
              <w:t>Udaljene metastaze. Ukoliko postoji pleuralni izliv, citooški nalaz mora biti</w:t>
            </w:r>
          </w:p>
        </w:tc>
      </w:tr>
      <w:tr w:rsidR="00BF7CA8" w:rsidTr="00623C6C">
        <w:tc>
          <w:tcPr>
            <w:tcW w:w="926" w:type="dxa"/>
            <w:tcBorders>
              <w:top w:val="nil"/>
              <w:left w:val="nil"/>
              <w:bottom w:val="single" w:sz="6" w:space="0" w:color="auto"/>
              <w:right w:val="nil"/>
            </w:tcBorders>
          </w:tcPr>
          <w:p w:rsidR="00BF7CA8" w:rsidRDefault="00BF7CA8" w:rsidP="00623C6C">
            <w:pPr>
              <w:pStyle w:val="Style1"/>
              <w:widowControl/>
            </w:pPr>
          </w:p>
        </w:tc>
        <w:tc>
          <w:tcPr>
            <w:tcW w:w="8203" w:type="dxa"/>
            <w:tcBorders>
              <w:top w:val="nil"/>
              <w:left w:val="nil"/>
              <w:bottom w:val="single" w:sz="6" w:space="0" w:color="auto"/>
              <w:right w:val="nil"/>
            </w:tcBorders>
          </w:tcPr>
          <w:p w:rsidR="00BF7CA8" w:rsidRDefault="00BF7CA8" w:rsidP="00623C6C">
            <w:pPr>
              <w:pStyle w:val="Style55"/>
              <w:widowControl/>
              <w:spacing w:line="240" w:lineRule="auto"/>
              <w:ind w:left="374"/>
              <w:rPr>
                <w:rStyle w:val="FontStyle81"/>
                <w:lang w:val="hr-HR" w:eastAsia="hr-HR"/>
              </w:rPr>
            </w:pPr>
            <w:r>
              <w:rPr>
                <w:rStyle w:val="FontStyle81"/>
                <w:lang w:val="hr-HR" w:eastAsia="hr-HR"/>
              </w:rPr>
              <w:t>pozitivan</w:t>
            </w:r>
          </w:p>
        </w:tc>
      </w:tr>
    </w:tbl>
    <w:p w:rsidR="00BF7CA8" w:rsidRDefault="00BF7CA8" w:rsidP="00BF7CA8">
      <w:pPr>
        <w:pStyle w:val="Style9"/>
        <w:widowControl/>
        <w:spacing w:line="240" w:lineRule="exact"/>
        <w:rPr>
          <w:sz w:val="20"/>
          <w:szCs w:val="20"/>
        </w:rPr>
      </w:pPr>
    </w:p>
    <w:p w:rsidR="00BF7CA8" w:rsidRDefault="00BF7CA8" w:rsidP="00BF7CA8">
      <w:pPr>
        <w:pStyle w:val="Style9"/>
        <w:widowControl/>
        <w:spacing w:before="43" w:line="274" w:lineRule="exact"/>
        <w:rPr>
          <w:rStyle w:val="FontStyle81"/>
          <w:lang w:val="hr-HR" w:eastAsia="hr-HR"/>
        </w:rPr>
      </w:pPr>
      <w:r>
        <w:rPr>
          <w:rStyle w:val="FontStyle81"/>
          <w:lang w:val="hr-HR" w:eastAsia="hr-HR"/>
        </w:rPr>
        <w:t>Dijagnoza i stepen proširenosti bolesti se postavlja nakon inicijalne laparatomije (Hirurški «staging») i pažljive inspekcije i palpacije organa u trbušnoj šupljini, omentumu, dijafragme, jetre, uzimanja uzoraka ascita i aspirata iz Douglasovog prostora za citološki pregled, biopsije subdijafragmalnih i pelvičnih limfonoda, kao i svih suspektnih lezija u abdomenu.</w:t>
      </w:r>
    </w:p>
    <w:p w:rsidR="00BF7CA8" w:rsidRDefault="00BF7CA8" w:rsidP="00BF7CA8">
      <w:pPr>
        <w:pStyle w:val="Style9"/>
        <w:widowControl/>
        <w:spacing w:before="53" w:line="278" w:lineRule="exact"/>
        <w:rPr>
          <w:rStyle w:val="FontStyle81"/>
          <w:lang w:val="hr-HR" w:eastAsia="hr-HR"/>
        </w:rPr>
      </w:pPr>
      <w:r>
        <w:rPr>
          <w:rStyle w:val="FontStyle81"/>
          <w:lang w:val="hr-HR" w:eastAsia="hr-HR"/>
        </w:rPr>
        <w:t>Hirurgija igra značajnu ulogu u liječenju svih stadija raka jajnika i primijenjena sa kemoterapijom, pruža bolesnicama veće šanse za povoljniji ishod.</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8" w:line="274" w:lineRule="exact"/>
        <w:rPr>
          <w:rStyle w:val="FontStyle81"/>
          <w:lang w:val="hr-HR" w:eastAsia="hr-HR"/>
        </w:rPr>
      </w:pPr>
      <w:r>
        <w:rPr>
          <w:rStyle w:val="FontStyle81"/>
          <w:lang w:val="hr-HR" w:eastAsia="hr-HR"/>
        </w:rPr>
        <w:t>Kod bolesnica u ranim stadijima bolesti (IA i IB gr I) primjenjuje se abdominalna histerektomija i obostrana adneksektomija bez adjuvantne kemoterapije, a petogodišnje preživljavanje bolesnica je 80-90%. Fertilne bolesnice sa «borderline» i dobro diferenciranim tumorima u prvom stadiju, tretiraju se sa jednostranom ovarijektojijom.</w:t>
      </w:r>
    </w:p>
    <w:p w:rsidR="00BF7CA8" w:rsidRDefault="00BF7CA8" w:rsidP="00BF7CA8">
      <w:pPr>
        <w:pStyle w:val="Style9"/>
        <w:widowControl/>
        <w:spacing w:line="240" w:lineRule="exact"/>
        <w:rPr>
          <w:sz w:val="20"/>
          <w:szCs w:val="20"/>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Kod hirurškog liječenja raka jajnika nastoji se ukloniti što je moguće više tumorskog volumena («debulking surgery») i reducirati tumor (optimalna citoredukcija) na veličinu ispod l,5 cm. Optimalna citoredukcija se može provesti kod 80% bolesnica u stadiju II i III, a ukoliko nije moguća (kod 50% bolesnica u stadiju II C) može se primijeniti preoperativna (neoadjuvantna) kemoterapija sa naknadnom laparatomijom («second look surgery») poslije 6-12 mjeseci i citoredukcijom</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43" w:line="269" w:lineRule="exact"/>
        <w:rPr>
          <w:rStyle w:val="FontStyle81"/>
          <w:lang w:val="hr-HR" w:eastAsia="hr-HR"/>
        </w:rPr>
      </w:pPr>
      <w:r>
        <w:rPr>
          <w:rStyle w:val="FontStyle81"/>
          <w:lang w:val="hr-HR" w:eastAsia="hr-HR"/>
        </w:rPr>
        <w:t>Uvođenjem adjuvantne kemoterapije u liječenju raka jajnika uloga radioterapije je znatno smanjena.</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29" w:line="278" w:lineRule="exact"/>
        <w:rPr>
          <w:rStyle w:val="FontStyle81"/>
          <w:lang w:val="hr-HR" w:eastAsia="hr-HR"/>
        </w:rPr>
      </w:pPr>
      <w:r>
        <w:rPr>
          <w:rStyle w:val="FontStyle81"/>
          <w:lang w:val="hr-HR" w:eastAsia="hr-HR"/>
        </w:rPr>
        <w:t>Postoperativna (adjuvantna) kemoterapija je, pored citoreduktivne hirurgije, metoda izbora u liječenju svih stadija bolesti osim kod dobro diferenciranih tumora u stadiju IA i IB.</w:t>
      </w:r>
    </w:p>
    <w:p w:rsidR="00BF7CA8" w:rsidRPr="00B64E0B" w:rsidRDefault="00BF7CA8" w:rsidP="00BF7CA8">
      <w:pPr>
        <w:pStyle w:val="Style9"/>
        <w:widowControl/>
        <w:spacing w:line="240" w:lineRule="exact"/>
        <w:rPr>
          <w:sz w:val="20"/>
          <w:szCs w:val="20"/>
          <w:lang w:val="hr-HR"/>
        </w:rPr>
      </w:pPr>
    </w:p>
    <w:p w:rsidR="00BF7CA8" w:rsidRDefault="00BF7CA8" w:rsidP="00BF7CA8">
      <w:pPr>
        <w:pStyle w:val="Style9"/>
        <w:widowControl/>
        <w:spacing w:before="34" w:line="274" w:lineRule="exact"/>
        <w:rPr>
          <w:rStyle w:val="FontStyle81"/>
          <w:lang w:val="hr-HR" w:eastAsia="hr-HR"/>
        </w:rPr>
      </w:pPr>
      <w:r>
        <w:rPr>
          <w:rStyle w:val="FontStyle81"/>
          <w:lang w:val="hr-HR" w:eastAsia="hr-HR"/>
        </w:rPr>
        <w:t xml:space="preserve">Abdominalna histerektomija sa obostranom adneksektomijom u kombinaciji sa postoperativnom - adjuvantnom kemoterapijom predstavlja najbolji način liječenja raka jajnika u ranim stadijima bolesti. Adjuvantna kemoterapija nije indicirana kod dobro diferenciranih tumora u stadiju IA i B. Kod bolesnica sa uznapredovalim tumorima osnovna uloga hirurgije je optimalna cito redukcija, uklanjanje tumorske </w:t>
      </w:r>
      <w:r>
        <w:rPr>
          <w:rStyle w:val="FontStyle81"/>
          <w:lang w:val="hr-HR" w:eastAsia="hr-HR"/>
        </w:rPr>
        <w:lastRenderedPageBreak/>
        <w:t>mase na veličinu ispod 1,5 c, rezidualnog tumora sa popratnom kemoterapijom. Taxol u kombinaciji sa Cisplatinom predstavlja najbolji kemoterapijski pristup u liječenju.</w:t>
      </w:r>
    </w:p>
    <w:p w:rsidR="00700E53" w:rsidRDefault="00700E53">
      <w:pPr>
        <w:rPr>
          <w:lang w:val="hr-HR"/>
        </w:rPr>
      </w:pPr>
    </w:p>
    <w:p w:rsidR="0030335A" w:rsidRDefault="0030335A">
      <w:pPr>
        <w:rPr>
          <w:lang w:val="hr-HR"/>
        </w:rPr>
      </w:pPr>
    </w:p>
    <w:p w:rsidR="0030335A" w:rsidRDefault="0030335A" w:rsidP="0030335A">
      <w:pPr>
        <w:jc w:val="center"/>
        <w:rPr>
          <w:sz w:val="28"/>
          <w:szCs w:val="28"/>
        </w:rPr>
      </w:pPr>
      <w:r>
        <w:rPr>
          <w:sz w:val="28"/>
          <w:szCs w:val="28"/>
        </w:rPr>
        <w:t xml:space="preserve">Objavljeno na: </w:t>
      </w:r>
      <w:hyperlink r:id="rId8" w:history="1">
        <w:r>
          <w:rPr>
            <w:rStyle w:val="Hyperlink"/>
            <w:sz w:val="28"/>
            <w:szCs w:val="28"/>
          </w:rPr>
          <w:t>www.</w:t>
        </w:r>
        <w:r w:rsidR="0044177E">
          <w:rPr>
            <w:rStyle w:val="Hyperlink"/>
            <w:sz w:val="28"/>
            <w:szCs w:val="28"/>
          </w:rPr>
          <w:t>maturski.org</w:t>
        </w:r>
      </w:hyperlink>
    </w:p>
    <w:p w:rsidR="0030335A" w:rsidRPr="00BF7CA8" w:rsidRDefault="0030335A">
      <w:pPr>
        <w:rPr>
          <w:lang w:val="hr-HR"/>
        </w:rPr>
      </w:pPr>
    </w:p>
    <w:sectPr w:rsidR="0030335A" w:rsidRPr="00BF7CA8" w:rsidSect="00A360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77E" w:rsidRDefault="0044177E" w:rsidP="0044177E">
      <w:pPr>
        <w:spacing w:after="0" w:line="240" w:lineRule="auto"/>
      </w:pPr>
      <w:r>
        <w:separator/>
      </w:r>
    </w:p>
  </w:endnote>
  <w:endnote w:type="continuationSeparator" w:id="1">
    <w:p w:rsidR="0044177E" w:rsidRDefault="0044177E" w:rsidP="00441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77E" w:rsidRDefault="0044177E" w:rsidP="0044177E">
      <w:pPr>
        <w:spacing w:after="0" w:line="240" w:lineRule="auto"/>
      </w:pPr>
      <w:r>
        <w:separator/>
      </w:r>
    </w:p>
  </w:footnote>
  <w:footnote w:type="continuationSeparator" w:id="1">
    <w:p w:rsidR="0044177E" w:rsidRDefault="0044177E" w:rsidP="004417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E4F61"/>
    <w:multiLevelType w:val="singleLevel"/>
    <w:tmpl w:val="134000AC"/>
    <w:lvl w:ilvl="0">
      <w:start w:val="1"/>
      <w:numFmt w:val="decimal"/>
      <w:lvlText w:val="%1."/>
      <w:legacy w:legacy="1" w:legacySpace="0" w:legacyIndent="413"/>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BF7CA8"/>
    <w:rsid w:val="0030335A"/>
    <w:rsid w:val="0044177E"/>
    <w:rsid w:val="00700E53"/>
    <w:rsid w:val="009F2A41"/>
    <w:rsid w:val="00A3606D"/>
    <w:rsid w:val="00BF7CA8"/>
    <w:rsid w:val="00CF5F2F"/>
    <w:rsid w:val="00E65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F7CA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BF7CA8"/>
    <w:pPr>
      <w:widowControl w:val="0"/>
      <w:autoSpaceDE w:val="0"/>
      <w:autoSpaceDN w:val="0"/>
      <w:adjustRightInd w:val="0"/>
      <w:spacing w:after="0" w:line="274" w:lineRule="exact"/>
      <w:ind w:hanging="413"/>
    </w:pPr>
    <w:rPr>
      <w:rFonts w:ascii="Times New Roman" w:hAnsi="Times New Roman" w:cs="Times New Roman"/>
      <w:sz w:val="24"/>
      <w:szCs w:val="24"/>
    </w:rPr>
  </w:style>
  <w:style w:type="paragraph" w:customStyle="1" w:styleId="Style9">
    <w:name w:val="Style9"/>
    <w:basedOn w:val="Normal"/>
    <w:uiPriority w:val="99"/>
    <w:rsid w:val="00BF7CA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4">
    <w:name w:val="Style34"/>
    <w:basedOn w:val="Normal"/>
    <w:uiPriority w:val="99"/>
    <w:rsid w:val="00BF7CA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5">
    <w:name w:val="Style35"/>
    <w:basedOn w:val="Normal"/>
    <w:uiPriority w:val="99"/>
    <w:rsid w:val="00BF7CA8"/>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36">
    <w:name w:val="Style36"/>
    <w:basedOn w:val="Normal"/>
    <w:uiPriority w:val="99"/>
    <w:rsid w:val="00BF7CA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7">
    <w:name w:val="Style37"/>
    <w:basedOn w:val="Normal"/>
    <w:uiPriority w:val="99"/>
    <w:rsid w:val="00BF7CA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Normal"/>
    <w:uiPriority w:val="99"/>
    <w:rsid w:val="00BF7CA8"/>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55">
    <w:name w:val="Style55"/>
    <w:basedOn w:val="Normal"/>
    <w:uiPriority w:val="99"/>
    <w:rsid w:val="00BF7CA8"/>
    <w:pPr>
      <w:widowControl w:val="0"/>
      <w:autoSpaceDE w:val="0"/>
      <w:autoSpaceDN w:val="0"/>
      <w:adjustRightInd w:val="0"/>
      <w:spacing w:after="0" w:line="278" w:lineRule="exact"/>
    </w:pPr>
    <w:rPr>
      <w:rFonts w:ascii="Times New Roman" w:hAnsi="Times New Roman" w:cs="Times New Roman"/>
      <w:sz w:val="24"/>
      <w:szCs w:val="24"/>
    </w:rPr>
  </w:style>
  <w:style w:type="character" w:customStyle="1" w:styleId="FontStyle72">
    <w:name w:val="Font Style72"/>
    <w:basedOn w:val="DefaultParagraphFont"/>
    <w:uiPriority w:val="99"/>
    <w:rsid w:val="00BF7CA8"/>
    <w:rPr>
      <w:rFonts w:ascii="Times New Roman" w:hAnsi="Times New Roman" w:cs="Times New Roman"/>
      <w:sz w:val="18"/>
      <w:szCs w:val="18"/>
    </w:rPr>
  </w:style>
  <w:style w:type="character" w:customStyle="1" w:styleId="FontStyle75">
    <w:name w:val="Font Style75"/>
    <w:basedOn w:val="DefaultParagraphFont"/>
    <w:uiPriority w:val="99"/>
    <w:rsid w:val="00BF7CA8"/>
    <w:rPr>
      <w:rFonts w:ascii="Times New Roman" w:hAnsi="Times New Roman" w:cs="Times New Roman"/>
      <w:sz w:val="14"/>
      <w:szCs w:val="14"/>
    </w:rPr>
  </w:style>
  <w:style w:type="character" w:customStyle="1" w:styleId="FontStyle76">
    <w:name w:val="Font Style76"/>
    <w:basedOn w:val="DefaultParagraphFont"/>
    <w:uiPriority w:val="99"/>
    <w:rsid w:val="00BF7CA8"/>
    <w:rPr>
      <w:rFonts w:ascii="Times New Roman" w:hAnsi="Times New Roman" w:cs="Times New Roman"/>
      <w:b/>
      <w:bCs/>
      <w:sz w:val="22"/>
      <w:szCs w:val="22"/>
    </w:rPr>
  </w:style>
  <w:style w:type="character" w:customStyle="1" w:styleId="FontStyle81">
    <w:name w:val="Font Style81"/>
    <w:basedOn w:val="DefaultParagraphFont"/>
    <w:uiPriority w:val="99"/>
    <w:rsid w:val="00BF7CA8"/>
    <w:rPr>
      <w:rFonts w:ascii="Times New Roman" w:hAnsi="Times New Roman" w:cs="Times New Roman"/>
      <w:sz w:val="22"/>
      <w:szCs w:val="22"/>
    </w:rPr>
  </w:style>
  <w:style w:type="character" w:styleId="Hyperlink">
    <w:name w:val="Hyperlink"/>
    <w:basedOn w:val="DefaultParagraphFont"/>
    <w:semiHidden/>
    <w:unhideWhenUsed/>
    <w:rsid w:val="0030335A"/>
    <w:rPr>
      <w:b w:val="0"/>
      <w:bCs w:val="0"/>
      <w:strike w:val="0"/>
      <w:dstrike w:val="0"/>
      <w:color w:val="003366"/>
      <w:u w:val="none"/>
      <w:effect w:val="none"/>
    </w:rPr>
  </w:style>
  <w:style w:type="paragraph" w:styleId="Header">
    <w:name w:val="header"/>
    <w:basedOn w:val="Normal"/>
    <w:link w:val="HeaderChar"/>
    <w:uiPriority w:val="99"/>
    <w:semiHidden/>
    <w:unhideWhenUsed/>
    <w:rsid w:val="004417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77E"/>
  </w:style>
  <w:style w:type="paragraph" w:styleId="Footer">
    <w:name w:val="footer"/>
    <w:basedOn w:val="Normal"/>
    <w:link w:val="FooterChar"/>
    <w:uiPriority w:val="99"/>
    <w:semiHidden/>
    <w:unhideWhenUsed/>
    <w:rsid w:val="004417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77E"/>
  </w:style>
</w:styles>
</file>

<file path=word/webSettings.xml><?xml version="1.0" encoding="utf-8"?>
<w:webSettings xmlns:r="http://schemas.openxmlformats.org/officeDocument/2006/relationships" xmlns:w="http://schemas.openxmlformats.org/wordprocessingml/2006/main">
  <w:divs>
    <w:div w:id="834761895">
      <w:bodyDiv w:val="1"/>
      <w:marLeft w:val="0"/>
      <w:marRight w:val="0"/>
      <w:marTop w:val="0"/>
      <w:marBottom w:val="0"/>
      <w:divBdr>
        <w:top w:val="none" w:sz="0" w:space="0" w:color="auto"/>
        <w:left w:val="none" w:sz="0" w:space="0" w:color="auto"/>
        <w:bottom w:val="none" w:sz="0" w:space="0" w:color="auto"/>
        <w:right w:val="none" w:sz="0" w:space="0" w:color="auto"/>
      </w:divBdr>
    </w:div>
    <w:div w:id="8797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3686</Words>
  <Characters>21011</Characters>
  <Application>Microsoft Office Word</Application>
  <DocSecurity>0</DocSecurity>
  <Lines>175</Lines>
  <Paragraphs>49</Paragraphs>
  <ScaleCrop>false</ScaleCrop>
  <Company/>
  <LinksUpToDate>false</LinksUpToDate>
  <CharactersWithSpaces>24648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GINEKOLOŠKI TUMORI</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